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03A0" w14:textId="34099D5D" w:rsidR="007A4AE9" w:rsidRPr="00B1039F" w:rsidRDefault="007A4AE9" w:rsidP="007A4AE9">
      <w:pPr>
        <w:tabs>
          <w:tab w:val="num" w:pos="720"/>
        </w:tabs>
        <w:spacing w:after="12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1039F">
        <w:rPr>
          <w:rFonts w:ascii="Times New Roman" w:hAnsi="Times New Roman" w:cs="Times New Roman"/>
          <w:b/>
          <w:bCs/>
          <w:sz w:val="32"/>
          <w:szCs w:val="32"/>
        </w:rPr>
        <w:t xml:space="preserve">Verbuchungsvorschlag </w:t>
      </w:r>
      <w:r w:rsidR="00B1039F" w:rsidRPr="00B1039F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B1039F">
        <w:rPr>
          <w:rFonts w:ascii="Times New Roman" w:hAnsi="Times New Roman" w:cs="Times New Roman"/>
          <w:b/>
          <w:bCs/>
          <w:sz w:val="32"/>
          <w:szCs w:val="32"/>
        </w:rPr>
        <w:t xml:space="preserve">der </w:t>
      </w:r>
      <w:r w:rsidR="00325A36">
        <w:rPr>
          <w:rFonts w:ascii="Times New Roman" w:hAnsi="Times New Roman" w:cs="Times New Roman"/>
          <w:b/>
          <w:bCs/>
          <w:sz w:val="32"/>
          <w:szCs w:val="32"/>
        </w:rPr>
        <w:t>Finanzzuweisung</w:t>
      </w:r>
      <w:r w:rsidRPr="00B1039F">
        <w:rPr>
          <w:rFonts w:ascii="Times New Roman" w:hAnsi="Times New Roman" w:cs="Times New Roman"/>
          <w:b/>
          <w:bCs/>
          <w:sz w:val="32"/>
          <w:szCs w:val="32"/>
        </w:rPr>
        <w:t>en für Investitionen</w:t>
      </w:r>
    </w:p>
    <w:p w14:paraId="75D2475F" w14:textId="77777777" w:rsidR="00B1039F" w:rsidRPr="007A4AE9" w:rsidRDefault="00B1039F" w:rsidP="007A4AE9">
      <w:pPr>
        <w:tabs>
          <w:tab w:val="num" w:pos="720"/>
        </w:tabs>
        <w:spacing w:after="120" w:line="240" w:lineRule="auto"/>
        <w:ind w:left="720" w:hanging="360"/>
        <w:jc w:val="center"/>
        <w:rPr>
          <w:rFonts w:ascii="Times New Roman" w:hAnsi="Times New Roman" w:cs="Times New Roman"/>
          <w:b/>
          <w:bCs/>
        </w:rPr>
      </w:pPr>
    </w:p>
    <w:p w14:paraId="5A9A05B2" w14:textId="048CFCEA" w:rsidR="007A4AE9" w:rsidRDefault="007A4AE9" w:rsidP="007A4AE9">
      <w:pPr>
        <w:tabs>
          <w:tab w:val="num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AE9">
        <w:rPr>
          <w:rFonts w:ascii="Times New Roman" w:hAnsi="Times New Roman" w:cs="Times New Roman"/>
          <w:sz w:val="24"/>
          <w:szCs w:val="24"/>
        </w:rPr>
        <w:t xml:space="preserve">Gemäß BGBl. I Nr. 25/2025 wurden die bisherigen Zweckzuschüsse gemäß KIG 2020, KIG 2023 und KIG 2025 (inkl. dem Zweckzuschuss digitaler Wandel) in </w:t>
      </w:r>
      <w:r w:rsidR="00325A36">
        <w:rPr>
          <w:rFonts w:ascii="Times New Roman" w:hAnsi="Times New Roman" w:cs="Times New Roman"/>
          <w:b/>
          <w:sz w:val="24"/>
          <w:szCs w:val="24"/>
        </w:rPr>
        <w:t>Finanzzuweisung</w:t>
      </w:r>
      <w:r w:rsidRPr="007A4AE9">
        <w:rPr>
          <w:rFonts w:ascii="Times New Roman" w:hAnsi="Times New Roman" w:cs="Times New Roman"/>
          <w:b/>
          <w:sz w:val="24"/>
          <w:szCs w:val="24"/>
        </w:rPr>
        <w:t>en für Investitionen</w:t>
      </w:r>
      <w:r w:rsidRPr="007A4AE9">
        <w:rPr>
          <w:rFonts w:ascii="Times New Roman" w:hAnsi="Times New Roman" w:cs="Times New Roman"/>
          <w:sz w:val="24"/>
          <w:szCs w:val="24"/>
        </w:rPr>
        <w:t xml:space="preserve"> umgewandelt. </w:t>
      </w:r>
    </w:p>
    <w:p w14:paraId="5E08E4FB" w14:textId="3EB9FD72" w:rsidR="007A4AE9" w:rsidRDefault="007A4AE9" w:rsidP="007A4AE9">
      <w:pPr>
        <w:tabs>
          <w:tab w:val="num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Abteilung 7 schlägt den Gemeinden der Steiermark folgende Verbuchungssystematik für diese Mittel vor. Die Verbuchung der </w:t>
      </w:r>
      <w:r w:rsidR="00325A36">
        <w:rPr>
          <w:rFonts w:ascii="Times New Roman" w:hAnsi="Times New Roman" w:cs="Times New Roman"/>
          <w:sz w:val="24"/>
          <w:szCs w:val="24"/>
        </w:rPr>
        <w:t>Finanzzuweisung</w:t>
      </w:r>
      <w:r>
        <w:rPr>
          <w:rFonts w:ascii="Times New Roman" w:hAnsi="Times New Roman" w:cs="Times New Roman"/>
          <w:sz w:val="24"/>
          <w:szCs w:val="24"/>
        </w:rPr>
        <w:t>en hat, soweit nicht anders dargestellt, im Ansatz der Verwendung bzw. Zielansatz zu erfolgen. Dadurch soll ein möglichst transparenter Nachweis der Mittel gegenüber dem BMF (Berichtspflicht der Gemeinden) sichergestellt werden:</w:t>
      </w:r>
    </w:p>
    <w:p w14:paraId="767C1331" w14:textId="6BDBC905" w:rsidR="007A4AE9" w:rsidRPr="007A4AE9" w:rsidRDefault="007A4AE9" w:rsidP="009B4CAE">
      <w:pPr>
        <w:numPr>
          <w:ilvl w:val="0"/>
          <w:numId w:val="1"/>
        </w:numPr>
        <w:tabs>
          <w:tab w:val="clear" w:pos="720"/>
          <w:tab w:val="num" w:pos="426"/>
        </w:tabs>
        <w:spacing w:before="36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de-AT"/>
        </w:rPr>
      </w:pPr>
      <w:r w:rsidRPr="007A4AE9">
        <w:rPr>
          <w:rFonts w:ascii="Times New Roman" w:eastAsia="Times New Roman" w:hAnsi="Times New Roman" w:cs="Times New Roman"/>
          <w:b/>
          <w:bCs/>
          <w:lang w:eastAsia="de-AT"/>
        </w:rPr>
        <w:t xml:space="preserve">KIG-Mittel Verwendung im gleichen Jahr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574"/>
        <w:gridCol w:w="1412"/>
        <w:gridCol w:w="5518"/>
      </w:tblGrid>
      <w:tr w:rsidR="007A4AE9" w:rsidRPr="007A4AE9" w14:paraId="03851700" w14:textId="77777777" w:rsidTr="00B1039F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68B91" w14:textId="77777777" w:rsidR="007A4AE9" w:rsidRPr="007A4AE9" w:rsidRDefault="007A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1574" w:type="dxa"/>
          </w:tcPr>
          <w:p w14:paraId="2DE53CE0" w14:textId="3F15DC23" w:rsidR="007A4AE9" w:rsidRPr="007A4AE9" w:rsidRDefault="007A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Ansatz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3950" w14:textId="2349EB73" w:rsidR="007A4AE9" w:rsidRPr="007A4AE9" w:rsidRDefault="007A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Konto</w:t>
            </w:r>
          </w:p>
        </w:tc>
        <w:tc>
          <w:tcPr>
            <w:tcW w:w="5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8707" w14:textId="67AB0C63" w:rsidR="007A4AE9" w:rsidRPr="007A4AE9" w:rsidRDefault="007A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Kontenbeschreibung</w:t>
            </w:r>
          </w:p>
        </w:tc>
      </w:tr>
      <w:tr w:rsidR="007A4AE9" w:rsidRPr="007A4AE9" w14:paraId="15135AEB" w14:textId="77777777" w:rsidTr="00B1039F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2BE6" w14:textId="77777777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574" w:type="dxa"/>
          </w:tcPr>
          <w:p w14:paraId="0D8B398E" w14:textId="783F86AB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910</w:t>
            </w:r>
            <w:r w:rsidR="00B1039F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/</w:t>
            </w:r>
            <w:r w:rsidR="00B1039F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Zielansatz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DC03" w14:textId="113A884A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210.</w:t>
            </w:r>
          </w:p>
        </w:tc>
        <w:tc>
          <w:tcPr>
            <w:tcW w:w="5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478A" w14:textId="77777777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Konten bei Kreditinstituten</w:t>
            </w:r>
          </w:p>
        </w:tc>
      </w:tr>
      <w:tr w:rsidR="007A4AE9" w:rsidRPr="007A4AE9" w14:paraId="0DB6681A" w14:textId="77777777" w:rsidTr="00B1039F">
        <w:tc>
          <w:tcPr>
            <w:tcW w:w="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39E6C" w14:textId="77777777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an</w:t>
            </w:r>
          </w:p>
        </w:tc>
        <w:tc>
          <w:tcPr>
            <w:tcW w:w="1574" w:type="dxa"/>
          </w:tcPr>
          <w:p w14:paraId="7558B89C" w14:textId="373990B8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Zielansatz</w:t>
            </w:r>
          </w:p>
        </w:tc>
        <w:tc>
          <w:tcPr>
            <w:tcW w:w="1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5FCB" w14:textId="5AC2D666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30074</w:t>
            </w:r>
            <w:r w:rsidR="00DB55F6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2</w:t>
            </w: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(inkl. VC)</w:t>
            </w:r>
          </w:p>
        </w:tc>
        <w:tc>
          <w:tcPr>
            <w:tcW w:w="5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97F5" w14:textId="2A10CE67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Kapitaltransfer vom Bund - KIG </w:t>
            </w:r>
            <w:r w:rsidR="00325A36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Finanzzuweisungen</w:t>
            </w:r>
            <w:r w:rsidR="00DB55F6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für Investitionen</w:t>
            </w:r>
          </w:p>
        </w:tc>
      </w:tr>
    </w:tbl>
    <w:p w14:paraId="7D1E6CAD" w14:textId="0D209797" w:rsidR="007A4AE9" w:rsidRPr="007A4AE9" w:rsidRDefault="007A4AE9" w:rsidP="009B4CAE">
      <w:pPr>
        <w:numPr>
          <w:ilvl w:val="0"/>
          <w:numId w:val="1"/>
        </w:numPr>
        <w:tabs>
          <w:tab w:val="clear" w:pos="720"/>
          <w:tab w:val="num" w:pos="426"/>
        </w:tabs>
        <w:spacing w:before="36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de-AT"/>
        </w:rPr>
      </w:pPr>
      <w:r w:rsidRPr="007A4AE9">
        <w:rPr>
          <w:rFonts w:ascii="Times New Roman" w:eastAsia="Times New Roman" w:hAnsi="Times New Roman" w:cs="Times New Roman"/>
          <w:b/>
          <w:bCs/>
          <w:lang w:eastAsia="de-AT"/>
        </w:rPr>
        <w:t>KIG-Mittel Verwendung im gleichen Jahr für z</w:t>
      </w:r>
      <w:r w:rsidR="00325A36">
        <w:rPr>
          <w:rFonts w:ascii="Times New Roman" w:eastAsia="Times New Roman" w:hAnsi="Times New Roman" w:cs="Times New Roman"/>
          <w:b/>
          <w:bCs/>
          <w:lang w:eastAsia="de-AT"/>
        </w:rPr>
        <w:t>.</w:t>
      </w:r>
      <w:r w:rsidRPr="007A4AE9">
        <w:rPr>
          <w:rFonts w:ascii="Times New Roman" w:eastAsia="Times New Roman" w:hAnsi="Times New Roman" w:cs="Times New Roman"/>
          <w:b/>
          <w:bCs/>
          <w:lang w:eastAsia="de-AT"/>
        </w:rPr>
        <w:t>B</w:t>
      </w:r>
      <w:r w:rsidR="00325A36">
        <w:rPr>
          <w:rFonts w:ascii="Times New Roman" w:eastAsia="Times New Roman" w:hAnsi="Times New Roman" w:cs="Times New Roman"/>
          <w:b/>
          <w:bCs/>
          <w:lang w:eastAsia="de-AT"/>
        </w:rPr>
        <w:t>.</w:t>
      </w:r>
      <w:r w:rsidRPr="007A4AE9">
        <w:rPr>
          <w:rFonts w:ascii="Times New Roman" w:eastAsia="Times New Roman" w:hAnsi="Times New Roman" w:cs="Times New Roman"/>
          <w:b/>
          <w:bCs/>
          <w:lang w:eastAsia="de-AT"/>
        </w:rPr>
        <w:t xml:space="preserve"> Investition Freiwillige Feuerwehr (2025)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330"/>
        <w:gridCol w:w="975"/>
        <w:gridCol w:w="6249"/>
      </w:tblGrid>
      <w:tr w:rsidR="007A4AE9" w:rsidRPr="007A4AE9" w14:paraId="1BF6F8CE" w14:textId="77777777" w:rsidTr="00B1039F"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D0EC8" w14:textId="77777777" w:rsidR="007A4AE9" w:rsidRPr="007A4AE9" w:rsidRDefault="007A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1330" w:type="dxa"/>
          </w:tcPr>
          <w:p w14:paraId="665274DF" w14:textId="2AFD5C03" w:rsidR="007A4AE9" w:rsidRPr="007A4AE9" w:rsidRDefault="007A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Ansatz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C2A8" w14:textId="1485A84F" w:rsidR="007A4AE9" w:rsidRPr="007A4AE9" w:rsidRDefault="007A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Konto</w:t>
            </w:r>
          </w:p>
        </w:tc>
        <w:tc>
          <w:tcPr>
            <w:tcW w:w="6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831E" w14:textId="3C141684" w:rsidR="007A4AE9" w:rsidRPr="007A4AE9" w:rsidRDefault="007A4A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Kontenbezeichnung</w:t>
            </w:r>
          </w:p>
        </w:tc>
      </w:tr>
      <w:tr w:rsidR="007A4AE9" w:rsidRPr="007A4AE9" w14:paraId="14FDF245" w14:textId="77777777" w:rsidTr="00B1039F"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31BF" w14:textId="77777777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330" w:type="dxa"/>
          </w:tcPr>
          <w:p w14:paraId="1D4F8F88" w14:textId="2F2BDDAC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910</w:t>
            </w:r>
            <w:r w:rsidR="00B1039F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/</w:t>
            </w:r>
            <w:r w:rsidR="00B1039F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Zielansatz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1A79" w14:textId="045A7538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210.</w:t>
            </w:r>
          </w:p>
        </w:tc>
        <w:tc>
          <w:tcPr>
            <w:tcW w:w="6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3C45" w14:textId="77777777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Konten bei Kreditinstituten</w:t>
            </w:r>
          </w:p>
        </w:tc>
      </w:tr>
      <w:tr w:rsidR="007A4AE9" w:rsidRPr="007A4AE9" w14:paraId="183C8995" w14:textId="77777777" w:rsidTr="00B1039F">
        <w:tc>
          <w:tcPr>
            <w:tcW w:w="5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F451" w14:textId="77777777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an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51B94950" w14:textId="6F611793" w:rsidR="007A4AE9" w:rsidRPr="007A4AE9" w:rsidRDefault="007A4AE9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Zielansatz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0AA8E" w14:textId="05F51B91" w:rsidR="007A4AE9" w:rsidRPr="007A4AE9" w:rsidRDefault="00386343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300742</w:t>
            </w:r>
          </w:p>
        </w:tc>
        <w:tc>
          <w:tcPr>
            <w:tcW w:w="624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BEF6A" w14:textId="18082280" w:rsidR="003C77CE" w:rsidRPr="007A4AE9" w:rsidRDefault="00386343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Kapitaltransfers</w:t>
            </w:r>
            <w:r w:rsidR="007A4AE9"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vom Bund – KIG </w:t>
            </w:r>
            <w:r w:rsidR="00325A36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Finanzzuweisungen</w:t>
            </w:r>
            <w:r w:rsidR="003C77CE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für Investitionen</w:t>
            </w:r>
          </w:p>
        </w:tc>
      </w:tr>
    </w:tbl>
    <w:p w14:paraId="1140E67A" w14:textId="77777777" w:rsidR="00386343" w:rsidRPr="00386343" w:rsidRDefault="00386343" w:rsidP="0038634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330"/>
        <w:gridCol w:w="975"/>
        <w:gridCol w:w="6249"/>
      </w:tblGrid>
      <w:tr w:rsidR="00386343" w:rsidRPr="007A4AE9" w14:paraId="2CF269B9" w14:textId="77777777" w:rsidTr="00386343">
        <w:trPr>
          <w:trHeight w:val="184"/>
        </w:trPr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BC32" w14:textId="77777777" w:rsidR="00386343" w:rsidRPr="007A4AE9" w:rsidRDefault="00386343" w:rsidP="0089400A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330" w:type="dxa"/>
          </w:tcPr>
          <w:p w14:paraId="51E07B64" w14:textId="77777777" w:rsidR="00386343" w:rsidRPr="007A4AE9" w:rsidRDefault="00386343" w:rsidP="0089400A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Zielansatz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9222" w14:textId="77777777" w:rsidR="00386343" w:rsidRPr="007A4AE9" w:rsidRDefault="00386343" w:rsidP="0089400A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300742</w:t>
            </w:r>
          </w:p>
        </w:tc>
        <w:tc>
          <w:tcPr>
            <w:tcW w:w="6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4DDEB" w14:textId="77777777" w:rsidR="00386343" w:rsidRPr="007A4AE9" w:rsidRDefault="00386343" w:rsidP="0089400A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Kapitaltransfers</w:t>
            </w: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vom Bund – KIG </w:t>
            </w: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Finanzzuweisungen für Investitionen</w:t>
            </w:r>
          </w:p>
        </w:tc>
      </w:tr>
      <w:tr w:rsidR="00386343" w:rsidRPr="007A4AE9" w14:paraId="055D3AA2" w14:textId="77777777" w:rsidTr="00386343">
        <w:tc>
          <w:tcPr>
            <w:tcW w:w="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EA084" w14:textId="77777777" w:rsidR="00386343" w:rsidRPr="007A4AE9" w:rsidRDefault="00386343" w:rsidP="0089400A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an</w:t>
            </w:r>
          </w:p>
        </w:tc>
        <w:tc>
          <w:tcPr>
            <w:tcW w:w="1330" w:type="dxa"/>
          </w:tcPr>
          <w:p w14:paraId="13F0DEA4" w14:textId="77777777" w:rsidR="00386343" w:rsidRPr="007A4AE9" w:rsidRDefault="00386343" w:rsidP="0089400A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Zielansatz</w:t>
            </w:r>
          </w:p>
        </w:tc>
        <w:tc>
          <w:tcPr>
            <w:tcW w:w="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08A1" w14:textId="77777777" w:rsidR="00386343" w:rsidRPr="007A4AE9" w:rsidRDefault="00386343" w:rsidP="0089400A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813</w:t>
            </w:r>
          </w:p>
        </w:tc>
        <w:tc>
          <w:tcPr>
            <w:tcW w:w="6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D42B" w14:textId="77777777" w:rsidR="00386343" w:rsidRPr="007A4AE9" w:rsidRDefault="00386343" w:rsidP="0089400A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386343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Erträge aus der Auflösung von Investitionszuschüssen (Kapitaltransfers)</w:t>
            </w:r>
          </w:p>
        </w:tc>
      </w:tr>
    </w:tbl>
    <w:p w14:paraId="39855944" w14:textId="01D68A06" w:rsidR="007A4AE9" w:rsidRDefault="007A4AE9" w:rsidP="007A4AE9">
      <w:pPr>
        <w:tabs>
          <w:tab w:val="num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AE9">
        <w:rPr>
          <w:rFonts w:ascii="Times New Roman" w:hAnsi="Times New Roman" w:cs="Times New Roman"/>
          <w:sz w:val="24"/>
          <w:szCs w:val="24"/>
        </w:rPr>
        <w:t>Die Gemeinde stellt ein VC3-Vorhaben mit einem Kapitaltransfer z.B. an die FF als investives Vorhaben dar. Die Verbuchung soll im jeweiligen „Ansatz der Verwendung“ erfolgen</w:t>
      </w:r>
      <w:r w:rsidR="00386343">
        <w:rPr>
          <w:rFonts w:ascii="Times New Roman" w:hAnsi="Times New Roman" w:cs="Times New Roman"/>
          <w:sz w:val="24"/>
          <w:szCs w:val="24"/>
        </w:rPr>
        <w:t>.</w:t>
      </w:r>
    </w:p>
    <w:p w14:paraId="5B62DA3C" w14:textId="13FF6615" w:rsidR="00386343" w:rsidRPr="007A4AE9" w:rsidRDefault="00386343" w:rsidP="007A4AE9">
      <w:pPr>
        <w:tabs>
          <w:tab w:val="num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selben Haushaltsjahr wird der an das verbundene Unternehmen/die Blaulichtorganisation ausgezahlte Kapitaltransfer (Finanzzuweisung für Investitionen) vollständig über die Kontengruppe 813 aufgelöst. </w:t>
      </w:r>
    </w:p>
    <w:p w14:paraId="4BBE51AE" w14:textId="00E532B7" w:rsidR="007A4AE9" w:rsidRDefault="007A4AE9" w:rsidP="009B4CAE">
      <w:pPr>
        <w:numPr>
          <w:ilvl w:val="0"/>
          <w:numId w:val="1"/>
        </w:numPr>
        <w:tabs>
          <w:tab w:val="clear" w:pos="720"/>
          <w:tab w:val="num" w:pos="426"/>
        </w:tabs>
        <w:spacing w:before="36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de-AT"/>
        </w:rPr>
      </w:pPr>
      <w:r w:rsidRPr="007A4AE9">
        <w:rPr>
          <w:rFonts w:ascii="Times New Roman" w:eastAsia="Times New Roman" w:hAnsi="Times New Roman" w:cs="Times New Roman"/>
          <w:b/>
          <w:bCs/>
          <w:lang w:eastAsia="de-AT"/>
        </w:rPr>
        <w:t xml:space="preserve">KIG-Mittel Verwendung im nächsten Jahr </w:t>
      </w:r>
    </w:p>
    <w:p w14:paraId="73D751BF" w14:textId="14FA8610" w:rsidR="009B4CAE" w:rsidRPr="007A4AE9" w:rsidRDefault="009B4CAE" w:rsidP="009B4CAE">
      <w:pPr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de-AT"/>
        </w:rPr>
      </w:pPr>
      <w:r>
        <w:rPr>
          <w:rFonts w:ascii="Times New Roman" w:eastAsia="Times New Roman" w:hAnsi="Times New Roman" w:cs="Times New Roman"/>
          <w:b/>
          <w:bCs/>
          <w:lang w:eastAsia="de-AT"/>
        </w:rPr>
        <w:t>2025:</w:t>
      </w:r>
    </w:p>
    <w:tbl>
      <w:tblPr>
        <w:tblW w:w="906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222"/>
        <w:gridCol w:w="1116"/>
        <w:gridCol w:w="6108"/>
      </w:tblGrid>
      <w:tr w:rsidR="008B62C0" w:rsidRPr="007A4AE9" w14:paraId="6CF4BBCD" w14:textId="77777777" w:rsidTr="003E7FEA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06117" w14:textId="77777777" w:rsidR="008B62C0" w:rsidRPr="007A4AE9" w:rsidRDefault="008B6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2025</w:t>
            </w:r>
          </w:p>
        </w:tc>
        <w:tc>
          <w:tcPr>
            <w:tcW w:w="8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A9AA3D" w14:textId="0B9AB701" w:rsidR="008B62C0" w:rsidRPr="007A4AE9" w:rsidRDefault="008B62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KIG-Mittel Verwendung im nächsten Jahr</w:t>
            </w:r>
          </w:p>
        </w:tc>
      </w:tr>
      <w:tr w:rsidR="00B1039F" w:rsidRPr="00B1039F" w14:paraId="52AB4265" w14:textId="77777777" w:rsidTr="008B62C0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24EE" w14:textId="77777777" w:rsidR="00B1039F" w:rsidRPr="00B1039F" w:rsidRDefault="00B1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FA02A" w14:textId="21B58B1A" w:rsidR="00B1039F" w:rsidRPr="00B1039F" w:rsidRDefault="00B1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B103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Ansatz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6611" w14:textId="3EB2CE9B" w:rsidR="00B1039F" w:rsidRPr="00B1039F" w:rsidRDefault="00B1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B103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Konto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68D9" w14:textId="5B3031C4" w:rsidR="00B1039F" w:rsidRPr="00B1039F" w:rsidRDefault="00B1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B103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Kontenbeschreibung</w:t>
            </w:r>
          </w:p>
        </w:tc>
      </w:tr>
      <w:tr w:rsidR="00B1039F" w:rsidRPr="007A4AE9" w14:paraId="76C2C5D0" w14:textId="77777777" w:rsidTr="008B62C0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598EB" w14:textId="77777777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B45B58" w14:textId="062CA1A6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910 / 942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82326" w14:textId="37013E00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210.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2FFD" w14:textId="77777777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Konten bei Kreditinstituten</w:t>
            </w:r>
          </w:p>
        </w:tc>
      </w:tr>
      <w:tr w:rsidR="00B1039F" w:rsidRPr="007A4AE9" w14:paraId="57CEC00E" w14:textId="77777777" w:rsidTr="008B62C0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B2A7" w14:textId="77777777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an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1DB63F" w14:textId="2643885C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942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6E56" w14:textId="7EE125AE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860</w:t>
            </w:r>
            <w:r w:rsidR="00EE4878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</w:t>
            </w: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4</w:t>
            </w:r>
            <w:r w:rsidR="003C77CE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9F86" w14:textId="5B73F8E7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Transfers vom Bund – KIG </w:t>
            </w:r>
            <w:r w:rsidR="00325A36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Finanzzuweisungen</w:t>
            </w:r>
            <w:r w:rsidR="003C77CE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für Investitionen</w:t>
            </w:r>
          </w:p>
        </w:tc>
      </w:tr>
    </w:tbl>
    <w:p w14:paraId="115F25C0" w14:textId="4D7EA101" w:rsidR="009B4CAE" w:rsidRDefault="009B4CAE" w:rsidP="009B4CA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F386B9" w14:textId="77777777" w:rsidR="009B4CAE" w:rsidRDefault="009B4CA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1466F982" w14:textId="77777777" w:rsidR="009B4CAE" w:rsidRPr="009B4CAE" w:rsidRDefault="009B4CAE" w:rsidP="009B4CA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06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222"/>
        <w:gridCol w:w="1116"/>
        <w:gridCol w:w="6108"/>
      </w:tblGrid>
      <w:tr w:rsidR="009B4CAE" w:rsidRPr="007A4AE9" w14:paraId="4DC8BAEA" w14:textId="77777777" w:rsidTr="009B4CAE">
        <w:trPr>
          <w:trHeight w:val="265"/>
        </w:trPr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ADF6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A69AB2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80E5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794</w:t>
            </w: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742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B00E" w14:textId="7C37ABA3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Zuweisung an zweckgebundene Haushaltsrücklagen KIG </w:t>
            </w:r>
            <w:r w:rsidR="00325A36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Finanzzuweisungen</w:t>
            </w: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für Investitionen</w:t>
            </w:r>
          </w:p>
        </w:tc>
      </w:tr>
      <w:tr w:rsidR="009B4CAE" w:rsidRPr="007A4AE9" w14:paraId="44FEAD4E" w14:textId="77777777" w:rsidTr="009B4CAE"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74D5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an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09DEBB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26D20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934</w:t>
            </w: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742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1926" w14:textId="388D7C96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Zweckgebundene Haushaltsrücklagen mit ZMR KIG </w:t>
            </w:r>
            <w:r w:rsidR="00325A36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Finanzzuweisungen</w:t>
            </w:r>
          </w:p>
        </w:tc>
      </w:tr>
    </w:tbl>
    <w:p w14:paraId="1ECB1D1D" w14:textId="21C26EC6" w:rsidR="009B4CAE" w:rsidRPr="009B4CAE" w:rsidRDefault="009B4CAE" w:rsidP="009B4CA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06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222"/>
        <w:gridCol w:w="1116"/>
        <w:gridCol w:w="6108"/>
      </w:tblGrid>
      <w:tr w:rsidR="009B4CAE" w:rsidRPr="007A4AE9" w14:paraId="333A6BC0" w14:textId="77777777" w:rsidTr="009B4CAE">
        <w:tc>
          <w:tcPr>
            <w:tcW w:w="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771F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B8D0E2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221CD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294.</w:t>
            </w:r>
          </w:p>
        </w:tc>
        <w:tc>
          <w:tcPr>
            <w:tcW w:w="61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9C0E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Zahlungsmittelreserven für zweckgebundene Haushaltsrücklagen</w:t>
            </w:r>
          </w:p>
        </w:tc>
      </w:tr>
      <w:tr w:rsidR="009B4CAE" w:rsidRPr="007A4AE9" w14:paraId="63B78391" w14:textId="77777777" w:rsidTr="00652C31"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7419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an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26D622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910 / 942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BFD9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210.</w:t>
            </w:r>
          </w:p>
        </w:tc>
        <w:tc>
          <w:tcPr>
            <w:tcW w:w="6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DE73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Konten bei Kreditinstituten</w:t>
            </w:r>
          </w:p>
        </w:tc>
      </w:tr>
    </w:tbl>
    <w:p w14:paraId="60D01885" w14:textId="36CE637B" w:rsidR="007A4AE9" w:rsidRDefault="007A4AE9" w:rsidP="00B1039F">
      <w:pPr>
        <w:tabs>
          <w:tab w:val="num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39F">
        <w:rPr>
          <w:rFonts w:ascii="Times New Roman" w:hAnsi="Times New Roman" w:cs="Times New Roman"/>
          <w:sz w:val="24"/>
          <w:szCs w:val="24"/>
        </w:rPr>
        <w:t xml:space="preserve">Die Verbuchung soll über den Ansatz 942 Sonstige </w:t>
      </w:r>
      <w:r w:rsidR="00325A36">
        <w:rPr>
          <w:rFonts w:ascii="Times New Roman" w:hAnsi="Times New Roman" w:cs="Times New Roman"/>
          <w:sz w:val="24"/>
          <w:szCs w:val="24"/>
        </w:rPr>
        <w:t>Finanzzuweisung</w:t>
      </w:r>
      <w:r w:rsidRPr="00B1039F">
        <w:rPr>
          <w:rFonts w:ascii="Times New Roman" w:hAnsi="Times New Roman" w:cs="Times New Roman"/>
          <w:sz w:val="24"/>
          <w:szCs w:val="24"/>
        </w:rPr>
        <w:t>en erfolgen.</w:t>
      </w:r>
    </w:p>
    <w:p w14:paraId="302BC6D1" w14:textId="4D5347E8" w:rsidR="009B4CAE" w:rsidRPr="009B4CAE" w:rsidRDefault="009B4CAE" w:rsidP="00B1039F">
      <w:pPr>
        <w:tabs>
          <w:tab w:val="num" w:pos="0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CAE">
        <w:rPr>
          <w:rFonts w:ascii="Times New Roman" w:hAnsi="Times New Roman" w:cs="Times New Roman"/>
          <w:b/>
          <w:bCs/>
          <w:sz w:val="24"/>
          <w:szCs w:val="24"/>
        </w:rPr>
        <w:t>2026: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217"/>
        <w:gridCol w:w="1746"/>
        <w:gridCol w:w="5473"/>
      </w:tblGrid>
      <w:tr w:rsidR="00B1039F" w:rsidRPr="007A4AE9" w14:paraId="07172C10" w14:textId="77777777" w:rsidTr="00B1039F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979C" w14:textId="77777777" w:rsidR="00B1039F" w:rsidRPr="007A4AE9" w:rsidRDefault="00B1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2026</w:t>
            </w:r>
          </w:p>
        </w:tc>
        <w:tc>
          <w:tcPr>
            <w:tcW w:w="8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4A07B9" w14:textId="1126BC75" w:rsidR="00B1039F" w:rsidRPr="007A4AE9" w:rsidRDefault="00B1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KIG-Mittel Verwendung im folgenden Jahr</w:t>
            </w:r>
          </w:p>
        </w:tc>
      </w:tr>
      <w:tr w:rsidR="00B1039F" w:rsidRPr="00B1039F" w14:paraId="0D948299" w14:textId="77777777" w:rsidTr="008B62C0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D7EE" w14:textId="77777777" w:rsidR="00B1039F" w:rsidRPr="00B1039F" w:rsidRDefault="00B1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3B1F5" w14:textId="7001B7A6" w:rsidR="00B1039F" w:rsidRPr="00B1039F" w:rsidRDefault="00B1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B103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Ansatz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DE72" w14:textId="2C8E05B1" w:rsidR="00B1039F" w:rsidRPr="00B1039F" w:rsidRDefault="00B1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B103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Konto</w:t>
            </w: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781B" w14:textId="73B51755" w:rsidR="00B1039F" w:rsidRPr="00B1039F" w:rsidRDefault="00B103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</w:pPr>
            <w:r w:rsidRPr="00B1039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de-AT"/>
              </w:rPr>
              <w:t>Kontenbezeichnung</w:t>
            </w:r>
          </w:p>
        </w:tc>
      </w:tr>
      <w:tr w:rsidR="00B1039F" w:rsidRPr="007A4AE9" w14:paraId="7647FC7E" w14:textId="77777777" w:rsidTr="008B62C0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0BDA" w14:textId="77777777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8CFA1" w14:textId="4B8C84E0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942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D59DA" w14:textId="130B222E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934</w:t>
            </w:r>
            <w:r w:rsidR="00EE4878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742</w:t>
            </w: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CC7C0" w14:textId="6BF9F36A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Zweckgebundene Haushaltsrücklagen mit ZMR KIG </w:t>
            </w:r>
            <w:r w:rsidR="00325A36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Finanzzuweisungen</w:t>
            </w:r>
          </w:p>
        </w:tc>
      </w:tr>
      <w:tr w:rsidR="00B1039F" w:rsidRPr="007A4AE9" w14:paraId="053D100F" w14:textId="77777777" w:rsidTr="008B62C0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759E" w14:textId="77777777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an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F84F4" w14:textId="5187964D" w:rsidR="00B1039F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942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1460" w14:textId="0F1D7343" w:rsidR="00EE4878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894</w:t>
            </w:r>
            <w:r w:rsidR="00EE4878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742</w:t>
            </w: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188E1" w14:textId="592F9001" w:rsidR="00EE4878" w:rsidRPr="007A4AE9" w:rsidRDefault="00B1039F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Entnahmen von zweckgebundenen Haushaltsrücklagen KIG </w:t>
            </w:r>
            <w:r w:rsidR="00325A36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Finanzzuweisungen</w:t>
            </w:r>
            <w:r w:rsidR="00EE4878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für Investitionen</w:t>
            </w:r>
          </w:p>
        </w:tc>
      </w:tr>
    </w:tbl>
    <w:p w14:paraId="6982808A" w14:textId="77777777" w:rsidR="009B4CAE" w:rsidRPr="009B4CAE" w:rsidRDefault="009B4CAE" w:rsidP="009B4CA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05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217"/>
        <w:gridCol w:w="1746"/>
        <w:gridCol w:w="5473"/>
      </w:tblGrid>
      <w:tr w:rsidR="009B4CAE" w:rsidRPr="007A4AE9" w14:paraId="6907DA1E" w14:textId="77777777" w:rsidTr="009B4CAE">
        <w:trPr>
          <w:trHeight w:val="26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8A9C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D497C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910 / 942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C01C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210.</w:t>
            </w: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D681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Konten bei Kreditinstituten</w:t>
            </w:r>
          </w:p>
        </w:tc>
      </w:tr>
      <w:tr w:rsidR="009B4CAE" w:rsidRPr="007A4AE9" w14:paraId="4D16C09C" w14:textId="77777777" w:rsidTr="009B4CAE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A722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an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3B551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910 / 942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FC8E7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294.</w:t>
            </w: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3615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Zahlungsmittelreserven für zweckgebundene Haushaltsrücklagen</w:t>
            </w:r>
          </w:p>
        </w:tc>
      </w:tr>
    </w:tbl>
    <w:p w14:paraId="232F4CCD" w14:textId="309E3B44" w:rsidR="009B4CAE" w:rsidRPr="009B4CAE" w:rsidRDefault="009B4CAE" w:rsidP="009B4CAE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05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217"/>
        <w:gridCol w:w="1746"/>
        <w:gridCol w:w="5473"/>
      </w:tblGrid>
      <w:tr w:rsidR="009B4CAE" w:rsidRPr="007A4AE9" w14:paraId="6C159D29" w14:textId="77777777" w:rsidTr="00652C31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37AD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5C510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942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A8CB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750942</w:t>
            </w: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2D25" w14:textId="70DD27E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proofErr w:type="spellStart"/>
            <w:r w:rsidRPr="00EE4878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Tansfers</w:t>
            </w:r>
            <w:proofErr w:type="spellEnd"/>
            <w:r w:rsidRPr="00EE4878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an Bund - Korrektur </w:t>
            </w:r>
            <w:proofErr w:type="spellStart"/>
            <w:r w:rsidRPr="00EE4878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KiG</w:t>
            </w:r>
            <w:proofErr w:type="spellEnd"/>
            <w:r w:rsidRPr="00EE4878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 w:rsidR="00325A36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Finanzzuweisungen</w:t>
            </w:r>
            <w:r w:rsidRPr="00EE4878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für Investitionen</w:t>
            </w:r>
          </w:p>
        </w:tc>
      </w:tr>
      <w:tr w:rsidR="009B4CAE" w:rsidRPr="007A4AE9" w14:paraId="019A7918" w14:textId="77777777" w:rsidTr="00652C31"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1AFE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an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747BC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Zielansatz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B961" w14:textId="77777777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30074</w:t>
            </w: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2</w:t>
            </w: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(inkl. VC)</w:t>
            </w:r>
          </w:p>
        </w:tc>
        <w:tc>
          <w:tcPr>
            <w:tcW w:w="5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C662" w14:textId="64D14299" w:rsidR="009B4CAE" w:rsidRPr="007A4AE9" w:rsidRDefault="009B4CAE" w:rsidP="00652C31">
            <w:pP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</w:pP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Kapitaltransfer vom Bund - KIG </w:t>
            </w:r>
            <w:r w:rsidR="00325A36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Finanzzuweisungen</w:t>
            </w:r>
            <w:r w:rsidRPr="007A4AE9"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de-AT"/>
              </w:rPr>
              <w:t>für Investitionen</w:t>
            </w:r>
          </w:p>
        </w:tc>
      </w:tr>
    </w:tbl>
    <w:p w14:paraId="0B7C203D" w14:textId="2F6A2755" w:rsidR="007A4AE9" w:rsidRPr="007A4AE9" w:rsidRDefault="00EE4878" w:rsidP="009B4CAE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 Transferbilanz zwischen Bund und Gemeinde muss im Folgejahr (etwa 2026) durch eine Korrektur des im Jahr 2025 auf der </w:t>
      </w:r>
      <w:proofErr w:type="spellStart"/>
      <w:r>
        <w:rPr>
          <w:rFonts w:ascii="Times New Roman" w:hAnsi="Times New Roman" w:cs="Times New Roman"/>
        </w:rPr>
        <w:t>VASt</w:t>
      </w:r>
      <w:proofErr w:type="spellEnd"/>
      <w:r>
        <w:rPr>
          <w:rFonts w:ascii="Times New Roman" w:hAnsi="Times New Roman" w:cs="Times New Roman"/>
        </w:rPr>
        <w:t xml:space="preserve">. 942/860942 verbuchten Mittel durch die </w:t>
      </w:r>
      <w:proofErr w:type="spellStart"/>
      <w:r>
        <w:rPr>
          <w:rFonts w:ascii="Times New Roman" w:hAnsi="Times New Roman" w:cs="Times New Roman"/>
        </w:rPr>
        <w:t>VASt</w:t>
      </w:r>
      <w:proofErr w:type="spellEnd"/>
      <w:r>
        <w:rPr>
          <w:rFonts w:ascii="Times New Roman" w:hAnsi="Times New Roman" w:cs="Times New Roman"/>
        </w:rPr>
        <w:t xml:space="preserve">. 942/750942 korrigiert werden. Im Ergebnis verbucht die Gemeinde die Korrektur des Transfers und bucht „richtig“ den Kapitaltransfers vom Bund für KIG </w:t>
      </w:r>
      <w:r w:rsidR="00325A36">
        <w:rPr>
          <w:rFonts w:ascii="Times New Roman" w:hAnsi="Times New Roman" w:cs="Times New Roman"/>
        </w:rPr>
        <w:t>Finanzzuweisungen</w:t>
      </w:r>
      <w:r>
        <w:rPr>
          <w:rFonts w:ascii="Times New Roman" w:hAnsi="Times New Roman" w:cs="Times New Roman"/>
        </w:rPr>
        <w:t xml:space="preserve"> für Investitionen auf dem jeweiligen Zielansatz des investiven Vorhabens (inkl. VC) ein. </w:t>
      </w:r>
    </w:p>
    <w:p w14:paraId="317A0B7A" w14:textId="77777777" w:rsidR="00DA5CBA" w:rsidRPr="007A4AE9" w:rsidRDefault="001C5515">
      <w:pPr>
        <w:rPr>
          <w:rFonts w:ascii="Times New Roman" w:hAnsi="Times New Roman" w:cs="Times New Roman"/>
        </w:rPr>
      </w:pPr>
    </w:p>
    <w:sectPr w:rsidR="00DA5CBA" w:rsidRPr="007A4A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64076"/>
    <w:multiLevelType w:val="hybridMultilevel"/>
    <w:tmpl w:val="4006A9C0"/>
    <w:lvl w:ilvl="0" w:tplc="C1F0A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39E86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2B242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D8E60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DBE0C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15850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92AEB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EBADF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A24DA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E9"/>
    <w:rsid w:val="002569F1"/>
    <w:rsid w:val="003206B4"/>
    <w:rsid w:val="00325A36"/>
    <w:rsid w:val="00386343"/>
    <w:rsid w:val="003C77CE"/>
    <w:rsid w:val="00511DC7"/>
    <w:rsid w:val="00537256"/>
    <w:rsid w:val="00557EF9"/>
    <w:rsid w:val="007421C7"/>
    <w:rsid w:val="00761390"/>
    <w:rsid w:val="007A4AE9"/>
    <w:rsid w:val="008B62C0"/>
    <w:rsid w:val="008C371E"/>
    <w:rsid w:val="009B4CAE"/>
    <w:rsid w:val="00AC4A51"/>
    <w:rsid w:val="00B04898"/>
    <w:rsid w:val="00B1039F"/>
    <w:rsid w:val="00C97962"/>
    <w:rsid w:val="00DB55F6"/>
    <w:rsid w:val="00E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751E"/>
  <w15:chartTrackingRefBased/>
  <w15:docId w15:val="{AF6F68C0-7029-4419-91E1-94405E3A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Hörmann Hans-Jörg</dc:creator>
  <cp:keywords/>
  <dc:description/>
  <cp:lastModifiedBy>Hörmann Hans-Jörg</cp:lastModifiedBy>
  <cp:revision>6</cp:revision>
  <cp:lastPrinted>2025-10-30T08:18:00Z</cp:lastPrinted>
  <dcterms:created xsi:type="dcterms:W3CDTF">2025-10-29T10:33:00Z</dcterms:created>
  <dcterms:modified xsi:type="dcterms:W3CDTF">2025-10-30T08:18:00Z</dcterms:modified>
</cp:coreProperties>
</file>