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AB" w:rsidRPr="00021B3F" w:rsidRDefault="005C77BB" w:rsidP="00021B3F">
      <w:pPr>
        <w:jc w:val="center"/>
        <w:rPr>
          <w:b/>
          <w:sz w:val="32"/>
          <w:szCs w:val="32"/>
        </w:rPr>
      </w:pPr>
      <w:bookmarkStart w:id="0" w:name="_GoBack"/>
      <w:bookmarkEnd w:id="0"/>
      <w:r w:rsidRPr="00021B3F">
        <w:rPr>
          <w:b/>
          <w:sz w:val="32"/>
          <w:szCs w:val="32"/>
        </w:rPr>
        <w:t>Vorbericht</w:t>
      </w:r>
      <w:r w:rsidR="00A75463" w:rsidRPr="00021B3F">
        <w:rPr>
          <w:b/>
          <w:sz w:val="32"/>
          <w:szCs w:val="32"/>
        </w:rPr>
        <w:t xml:space="preserve"> </w:t>
      </w:r>
      <w:r w:rsidR="00021B3F">
        <w:rPr>
          <w:b/>
          <w:sz w:val="32"/>
          <w:szCs w:val="32"/>
        </w:rPr>
        <w:t>zum Voranschlag 2020 der Gemeinde XY</w:t>
      </w:r>
      <w:r w:rsidR="00222684" w:rsidRPr="00021B3F">
        <w:rPr>
          <w:b/>
          <w:sz w:val="32"/>
          <w:szCs w:val="32"/>
        </w:rPr>
        <w:t xml:space="preserve"> </w:t>
      </w:r>
      <w:r w:rsidR="00021B3F">
        <w:rPr>
          <w:b/>
          <w:sz w:val="32"/>
          <w:szCs w:val="32"/>
        </w:rPr>
        <w:br/>
      </w:r>
      <w:r w:rsidR="00021B3F" w:rsidRPr="00021B3F">
        <w:rPr>
          <w:sz w:val="18"/>
          <w:szCs w:val="18"/>
        </w:rPr>
        <w:t>(Muster der A7)</w:t>
      </w:r>
    </w:p>
    <w:p w:rsidR="005513D1" w:rsidRDefault="00021B3F" w:rsidP="00021B3F">
      <w:r w:rsidRPr="00021B3F">
        <w:t xml:space="preserve">Mit dem Haushaltsjahr 2020 hat die </w:t>
      </w:r>
      <w:r w:rsidRPr="00021B3F">
        <w:rPr>
          <w:highlight w:val="yellow"/>
        </w:rPr>
        <w:t>Gemeinde XY</w:t>
      </w:r>
      <w:r w:rsidRPr="00021B3F">
        <w:t xml:space="preserve"> das neue Gemeindehaushaltsrecht auf Basis der Voranschlags- und Rechnungsabschlussverordnung 2015 (in der Folge kurz: VRV 2015) anzuwenden. </w:t>
      </w:r>
      <w:r w:rsidR="005513D1">
        <w:t xml:space="preserve">Damit wird das bisherige System der Veranschlagung von Einnahmen und Ausgaben in einem ordentlichen und außerordentlichen Haushalt abgelöst (Kameralistik). </w:t>
      </w:r>
    </w:p>
    <w:p w:rsidR="005C77BB" w:rsidRPr="00021B3F" w:rsidRDefault="00021B3F" w:rsidP="00021B3F">
      <w:r w:rsidRPr="00021B3F">
        <w:t>Der Voranschlag für das Haushaltsjahr 2020 (in der Folge kurz: VA 2020) besteht künftig im Wesentlichen aus einem Ergebnisvoranschlag (alle geplanten Erträge und Aufwendungen) und einem Finanzierungsvoranschlag (alle geplante Ein- und Auszahlungen).</w:t>
      </w:r>
      <w:r w:rsidR="005513D1">
        <w:t xml:space="preserve"> Die Gemeinde XY hat ihre Geschäftsfälle künftig in einem integrierten Drei-Komponenten-Haushalt, nämlich dem Ergebnis-, Finanzierungs- und Vermögenshaushalt zu erfassen.</w:t>
      </w:r>
    </w:p>
    <w:p w:rsidR="00A75463" w:rsidRDefault="00A75463" w:rsidP="00021B3F">
      <w:r>
        <w:t xml:space="preserve">Der erstmalig erstellte </w:t>
      </w:r>
      <w:r w:rsidR="00021B3F">
        <w:t>VA 2020</w:t>
      </w:r>
      <w:r>
        <w:t xml:space="preserve"> basiert auf den Daten der </w:t>
      </w:r>
      <w:r w:rsidR="005513D1">
        <w:t>bereits erfassten</w:t>
      </w:r>
      <w:r>
        <w:t xml:space="preserve"> Vermögens</w:t>
      </w:r>
      <w:r w:rsidR="005513D1">
        <w:t xml:space="preserve">werte, Investitionszuschüssen und Fremdmitteln der </w:t>
      </w:r>
      <w:r w:rsidR="005513D1" w:rsidRPr="005513D1">
        <w:rPr>
          <w:highlight w:val="yellow"/>
        </w:rPr>
        <w:t>Gemeinde XY</w:t>
      </w:r>
      <w:r>
        <w:t xml:space="preserve"> per 1.1.2020 </w:t>
      </w:r>
      <w:r w:rsidR="005E6683">
        <w:t xml:space="preserve">(Datenerfassungsstand </w:t>
      </w:r>
      <w:r w:rsidR="00383837">
        <w:t>xx.xx</w:t>
      </w:r>
      <w:r w:rsidR="005E6683">
        <w:t>.</w:t>
      </w:r>
      <w:r w:rsidR="00021B3F">
        <w:t xml:space="preserve">2019 mit grober Hochschätzung). Eine Eröffnungsbilanz der </w:t>
      </w:r>
      <w:r w:rsidR="00021B3F" w:rsidRPr="00021B3F">
        <w:rPr>
          <w:highlight w:val="yellow"/>
        </w:rPr>
        <w:t>Gemeinde XY</w:t>
      </w:r>
      <w:r w:rsidR="00021B3F">
        <w:t xml:space="preserve"> auf Basis der VRV 2015 liegt nicht vor. </w:t>
      </w:r>
    </w:p>
    <w:p w:rsidR="00021B3F" w:rsidRPr="00021B3F" w:rsidRDefault="00021B3F" w:rsidP="00021B3F">
      <w:pPr>
        <w:pStyle w:val="berschrift1"/>
      </w:pPr>
      <w:r w:rsidRPr="00021B3F">
        <w:t>Überblick über den Ergebnis- und Finanzierungsvoranschlag</w:t>
      </w:r>
    </w:p>
    <w:p w:rsidR="00021B3F" w:rsidRDefault="00021B3F" w:rsidP="00021B3F">
      <w:r>
        <w:t>Die Summen (SU) und Salden (SA) des Ergebnisvoranschlages ergeben für das Haushaltsjahr 2020 folgendes Bild:</w:t>
      </w:r>
    </w:p>
    <w:tbl>
      <w:tblPr>
        <w:tblW w:w="9108" w:type="dxa"/>
        <w:tblCellMar>
          <w:left w:w="70" w:type="dxa"/>
          <w:right w:w="70" w:type="dxa"/>
        </w:tblCellMar>
        <w:tblLook w:val="04A0" w:firstRow="1" w:lastRow="0" w:firstColumn="1" w:lastColumn="0" w:noHBand="0" w:noVBand="1"/>
      </w:tblPr>
      <w:tblGrid>
        <w:gridCol w:w="774"/>
        <w:gridCol w:w="774"/>
        <w:gridCol w:w="4548"/>
        <w:gridCol w:w="1030"/>
        <w:gridCol w:w="1040"/>
        <w:gridCol w:w="942"/>
      </w:tblGrid>
      <w:tr w:rsidR="00412387" w:rsidRPr="00412387" w:rsidTr="00412387">
        <w:trPr>
          <w:trHeight w:val="300"/>
        </w:trPr>
        <w:tc>
          <w:tcPr>
            <w:tcW w:w="9108" w:type="dxa"/>
            <w:gridSpan w:val="6"/>
            <w:tcBorders>
              <w:top w:val="nil"/>
              <w:left w:val="nil"/>
              <w:bottom w:val="nil"/>
              <w:right w:val="nil"/>
            </w:tcBorders>
            <w:shd w:val="clear" w:color="auto" w:fill="auto"/>
            <w:noWrap/>
            <w:vAlign w:val="bottom"/>
            <w:hideMark/>
          </w:tcPr>
          <w:p w:rsidR="00412387" w:rsidRPr="00412387" w:rsidRDefault="00412387" w:rsidP="00412387">
            <w:pPr>
              <w:spacing w:after="0" w:line="240" w:lineRule="auto"/>
              <w:jc w:val="left"/>
              <w:rPr>
                <w:rFonts w:ascii="Calibri" w:eastAsia="Times New Roman" w:hAnsi="Calibri" w:cs="Calibri"/>
                <w:sz w:val="20"/>
                <w:szCs w:val="20"/>
                <w:lang w:val="de-DE" w:eastAsia="de-DE"/>
              </w:rPr>
            </w:pPr>
            <w:r w:rsidRPr="00412387">
              <w:rPr>
                <w:rFonts w:ascii="Calibri" w:eastAsia="Times New Roman" w:hAnsi="Calibri" w:cs="Calibri"/>
                <w:sz w:val="20"/>
                <w:szCs w:val="20"/>
                <w:lang w:val="de-DE" w:eastAsia="de-DE"/>
              </w:rPr>
              <w:t>Angaben in Euro (Voranschlag)</w:t>
            </w:r>
          </w:p>
        </w:tc>
      </w:tr>
      <w:tr w:rsidR="00412387" w:rsidRPr="00412387" w:rsidTr="00412387">
        <w:trPr>
          <w:trHeight w:val="255"/>
        </w:trPr>
        <w:tc>
          <w:tcPr>
            <w:tcW w:w="682"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MVAG</w:t>
            </w:r>
            <w:r w:rsidRPr="00412387">
              <w:rPr>
                <w:rFonts w:eastAsia="Times New Roman"/>
                <w:b/>
                <w:bCs/>
                <w:sz w:val="20"/>
                <w:szCs w:val="20"/>
                <w:lang w:val="de-DE" w:eastAsia="de-DE"/>
              </w:rPr>
              <w:br/>
              <w:t>Ebene</w:t>
            </w:r>
          </w:p>
        </w:tc>
        <w:tc>
          <w:tcPr>
            <w:tcW w:w="682"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MVAG</w:t>
            </w:r>
            <w:r w:rsidRPr="00412387">
              <w:rPr>
                <w:rFonts w:eastAsia="Times New Roman"/>
                <w:b/>
                <w:bCs/>
                <w:sz w:val="20"/>
                <w:szCs w:val="20"/>
                <w:lang w:val="de-DE" w:eastAsia="de-DE"/>
              </w:rPr>
              <w:br/>
              <w:t>Code</w:t>
            </w:r>
          </w:p>
        </w:tc>
        <w:tc>
          <w:tcPr>
            <w:tcW w:w="4732"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Mittelverwendungs- und -aufbringungsgruppen</w:t>
            </w:r>
            <w:r w:rsidRPr="00412387">
              <w:rPr>
                <w:rFonts w:eastAsia="Times New Roman"/>
                <w:b/>
                <w:bCs/>
                <w:sz w:val="20"/>
                <w:szCs w:val="20"/>
                <w:lang w:val="de-DE" w:eastAsia="de-DE"/>
              </w:rPr>
              <w:br/>
              <w:t>(1. Ebene)</w:t>
            </w:r>
          </w:p>
        </w:tc>
        <w:tc>
          <w:tcPr>
            <w:tcW w:w="1030"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sz w:val="20"/>
                <w:szCs w:val="20"/>
                <w:lang w:val="de-DE" w:eastAsia="de-DE"/>
              </w:rPr>
            </w:pPr>
            <w:r w:rsidRPr="00412387">
              <w:rPr>
                <w:rFonts w:eastAsia="Times New Roman"/>
                <w:b/>
                <w:bCs/>
                <w:sz w:val="20"/>
                <w:szCs w:val="20"/>
                <w:lang w:val="de-DE" w:eastAsia="de-DE"/>
              </w:rPr>
              <w:t>VA (t)</w:t>
            </w:r>
          </w:p>
        </w:tc>
        <w:tc>
          <w:tcPr>
            <w:tcW w:w="1040"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sz w:val="20"/>
                <w:szCs w:val="20"/>
                <w:lang w:val="de-DE" w:eastAsia="de-DE"/>
              </w:rPr>
            </w:pPr>
            <w:r w:rsidRPr="00412387">
              <w:rPr>
                <w:rFonts w:eastAsia="Times New Roman"/>
                <w:b/>
                <w:bCs/>
                <w:sz w:val="20"/>
                <w:szCs w:val="20"/>
                <w:lang w:val="de-DE" w:eastAsia="de-DE"/>
              </w:rPr>
              <w:t>VA (t-1)</w:t>
            </w:r>
          </w:p>
        </w:tc>
        <w:tc>
          <w:tcPr>
            <w:tcW w:w="942"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sz w:val="20"/>
                <w:szCs w:val="20"/>
                <w:lang w:val="de-DE" w:eastAsia="de-DE"/>
              </w:rPr>
            </w:pPr>
            <w:r w:rsidRPr="00412387">
              <w:rPr>
                <w:rFonts w:eastAsia="Times New Roman"/>
                <w:b/>
                <w:bCs/>
                <w:sz w:val="20"/>
                <w:szCs w:val="20"/>
                <w:lang w:val="de-DE" w:eastAsia="de-DE"/>
              </w:rPr>
              <w:t>RA (t-2)</w:t>
            </w:r>
          </w:p>
        </w:tc>
      </w:tr>
      <w:tr w:rsidR="00412387" w:rsidRPr="00412387" w:rsidTr="00412387">
        <w:trPr>
          <w:trHeight w:val="491"/>
        </w:trPr>
        <w:tc>
          <w:tcPr>
            <w:tcW w:w="682"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c>
          <w:tcPr>
            <w:tcW w:w="682"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c>
          <w:tcPr>
            <w:tcW w:w="4732"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c>
          <w:tcPr>
            <w:tcW w:w="1030"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c>
          <w:tcPr>
            <w:tcW w:w="1040"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c>
          <w:tcPr>
            <w:tcW w:w="942"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sz w:val="20"/>
                <w:szCs w:val="20"/>
                <w:lang w:val="de-DE" w:eastAsia="de-DE"/>
              </w:rPr>
            </w:pPr>
          </w:p>
        </w:tc>
      </w:tr>
      <w:tr w:rsidR="00412387" w:rsidRPr="00412387" w:rsidTr="00412387">
        <w:trPr>
          <w:trHeight w:val="375"/>
        </w:trPr>
        <w:tc>
          <w:tcPr>
            <w:tcW w:w="682"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SU</w:t>
            </w:r>
          </w:p>
        </w:tc>
        <w:tc>
          <w:tcPr>
            <w:tcW w:w="682"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21</w:t>
            </w:r>
          </w:p>
        </w:tc>
        <w:tc>
          <w:tcPr>
            <w:tcW w:w="4732"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sz w:val="20"/>
                <w:szCs w:val="20"/>
                <w:lang w:val="de-DE" w:eastAsia="de-DE"/>
              </w:rPr>
            </w:pPr>
            <w:r w:rsidRPr="00412387">
              <w:rPr>
                <w:rFonts w:eastAsia="Times New Roman"/>
                <w:b/>
                <w:bCs/>
                <w:i/>
                <w:iCs/>
                <w:sz w:val="20"/>
                <w:szCs w:val="20"/>
                <w:lang w:val="de-DE" w:eastAsia="de-DE"/>
              </w:rPr>
              <w:t>Summe Erträge</w:t>
            </w:r>
          </w:p>
        </w:tc>
        <w:tc>
          <w:tcPr>
            <w:tcW w:w="103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104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94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r>
      <w:tr w:rsidR="00412387" w:rsidRPr="00412387" w:rsidTr="00412387">
        <w:trPr>
          <w:trHeight w:val="375"/>
        </w:trPr>
        <w:tc>
          <w:tcPr>
            <w:tcW w:w="682"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SU</w:t>
            </w:r>
          </w:p>
        </w:tc>
        <w:tc>
          <w:tcPr>
            <w:tcW w:w="682"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22</w:t>
            </w:r>
          </w:p>
        </w:tc>
        <w:tc>
          <w:tcPr>
            <w:tcW w:w="4732"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sz w:val="20"/>
                <w:szCs w:val="20"/>
                <w:lang w:val="de-DE" w:eastAsia="de-DE"/>
              </w:rPr>
            </w:pPr>
            <w:r w:rsidRPr="00412387">
              <w:rPr>
                <w:rFonts w:eastAsia="Times New Roman"/>
                <w:b/>
                <w:bCs/>
                <w:i/>
                <w:iCs/>
                <w:sz w:val="20"/>
                <w:szCs w:val="20"/>
                <w:lang w:val="de-DE" w:eastAsia="de-DE"/>
              </w:rPr>
              <w:t xml:space="preserve">Summe Aufwendungen </w:t>
            </w:r>
          </w:p>
        </w:tc>
        <w:tc>
          <w:tcPr>
            <w:tcW w:w="103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104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94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r>
      <w:tr w:rsidR="00412387" w:rsidRPr="00412387" w:rsidTr="00412387">
        <w:trPr>
          <w:trHeight w:val="420"/>
        </w:trPr>
        <w:tc>
          <w:tcPr>
            <w:tcW w:w="682"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 xml:space="preserve">SA 0 </w:t>
            </w:r>
          </w:p>
        </w:tc>
        <w:tc>
          <w:tcPr>
            <w:tcW w:w="682"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SA0</w:t>
            </w:r>
          </w:p>
        </w:tc>
        <w:tc>
          <w:tcPr>
            <w:tcW w:w="4732"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sz w:val="20"/>
                <w:szCs w:val="20"/>
                <w:lang w:val="de-DE" w:eastAsia="de-DE"/>
              </w:rPr>
            </w:pPr>
            <w:r w:rsidRPr="00412387">
              <w:rPr>
                <w:rFonts w:eastAsia="Times New Roman"/>
                <w:b/>
                <w:bCs/>
                <w:i/>
                <w:iCs/>
                <w:sz w:val="20"/>
                <w:szCs w:val="20"/>
                <w:lang w:val="de-DE" w:eastAsia="de-DE"/>
              </w:rPr>
              <w:t xml:space="preserve">(0) Nettoergebnis (21 - 22) </w:t>
            </w:r>
          </w:p>
        </w:tc>
        <w:tc>
          <w:tcPr>
            <w:tcW w:w="103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104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94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r>
      <w:tr w:rsidR="00412387" w:rsidRPr="00412387" w:rsidTr="00412387">
        <w:trPr>
          <w:trHeight w:val="270"/>
        </w:trPr>
        <w:tc>
          <w:tcPr>
            <w:tcW w:w="682"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SU</w:t>
            </w:r>
          </w:p>
        </w:tc>
        <w:tc>
          <w:tcPr>
            <w:tcW w:w="682"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23</w:t>
            </w:r>
          </w:p>
        </w:tc>
        <w:tc>
          <w:tcPr>
            <w:tcW w:w="4732"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sz w:val="20"/>
                <w:szCs w:val="20"/>
                <w:lang w:val="de-DE" w:eastAsia="de-DE"/>
              </w:rPr>
            </w:pPr>
            <w:r w:rsidRPr="00412387">
              <w:rPr>
                <w:rFonts w:eastAsia="Times New Roman"/>
                <w:b/>
                <w:bCs/>
                <w:i/>
                <w:iCs/>
                <w:sz w:val="20"/>
                <w:szCs w:val="20"/>
                <w:lang w:val="de-DE" w:eastAsia="de-DE"/>
              </w:rPr>
              <w:t>Summe Haushaltsrücklagen</w:t>
            </w:r>
          </w:p>
        </w:tc>
        <w:tc>
          <w:tcPr>
            <w:tcW w:w="103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104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94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r>
      <w:tr w:rsidR="00412387" w:rsidRPr="00412387" w:rsidTr="00412387">
        <w:trPr>
          <w:trHeight w:val="525"/>
        </w:trPr>
        <w:tc>
          <w:tcPr>
            <w:tcW w:w="682"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SA 00</w:t>
            </w:r>
          </w:p>
        </w:tc>
        <w:tc>
          <w:tcPr>
            <w:tcW w:w="682"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sz w:val="20"/>
                <w:szCs w:val="20"/>
                <w:lang w:val="de-DE" w:eastAsia="de-DE"/>
              </w:rPr>
            </w:pPr>
            <w:r w:rsidRPr="00412387">
              <w:rPr>
                <w:rFonts w:eastAsia="Times New Roman"/>
                <w:b/>
                <w:bCs/>
                <w:sz w:val="20"/>
                <w:szCs w:val="20"/>
                <w:lang w:val="de-DE" w:eastAsia="de-DE"/>
              </w:rPr>
              <w:t>SA00</w:t>
            </w:r>
          </w:p>
        </w:tc>
        <w:tc>
          <w:tcPr>
            <w:tcW w:w="4732"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sz w:val="20"/>
                <w:szCs w:val="20"/>
                <w:lang w:val="de-DE" w:eastAsia="de-DE"/>
              </w:rPr>
            </w:pPr>
            <w:r w:rsidRPr="00412387">
              <w:rPr>
                <w:rFonts w:eastAsia="Times New Roman"/>
                <w:b/>
                <w:bCs/>
                <w:i/>
                <w:iCs/>
                <w:sz w:val="20"/>
                <w:szCs w:val="20"/>
                <w:lang w:val="de-DE" w:eastAsia="de-DE"/>
              </w:rPr>
              <w:t>Nettoergebnis nach Zuweisung und Entnahmen von Haushaltsrücklagen (SA 0 + / - SU23)</w:t>
            </w:r>
          </w:p>
        </w:tc>
        <w:tc>
          <w:tcPr>
            <w:tcW w:w="103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1040"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c>
          <w:tcPr>
            <w:tcW w:w="94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sz w:val="20"/>
                <w:szCs w:val="20"/>
                <w:lang w:val="de-DE" w:eastAsia="de-DE"/>
              </w:rPr>
            </w:pPr>
            <w:r w:rsidRPr="00412387">
              <w:rPr>
                <w:rFonts w:eastAsia="Times New Roman"/>
                <w:b/>
                <w:bCs/>
                <w:sz w:val="20"/>
                <w:szCs w:val="20"/>
                <w:lang w:val="de-DE" w:eastAsia="de-DE"/>
              </w:rPr>
              <w:t>0,00</w:t>
            </w:r>
          </w:p>
        </w:tc>
      </w:tr>
    </w:tbl>
    <w:p w:rsidR="005E6683" w:rsidRDefault="005E6683" w:rsidP="00021B3F"/>
    <w:p w:rsidR="005E6683" w:rsidRDefault="00FF1BC6" w:rsidP="00021B3F">
      <w:r w:rsidRPr="00FF1BC6">
        <w:rPr>
          <w:highlight w:val="yellow"/>
        </w:rPr>
        <w:t>Kurzbeschreibung der wesentlichen Kennzahlen des Ergebnisvoranschlages</w:t>
      </w:r>
    </w:p>
    <w:p w:rsidR="00021B3F" w:rsidRDefault="00021B3F" w:rsidP="00021B3F">
      <w:r>
        <w:t>Die Summen (SU) und Salden (SA) des Finanzierungsvoranschlages ergeben für das Haushaltsjahr 2020 folgendes Bild:</w:t>
      </w:r>
    </w:p>
    <w:p w:rsidR="00412387" w:rsidRDefault="00412387">
      <w:r>
        <w:br w:type="page"/>
      </w:r>
    </w:p>
    <w:tbl>
      <w:tblPr>
        <w:tblW w:w="9072" w:type="dxa"/>
        <w:tblCellMar>
          <w:left w:w="70" w:type="dxa"/>
          <w:right w:w="70" w:type="dxa"/>
        </w:tblCellMar>
        <w:tblLook w:val="04A0" w:firstRow="1" w:lastRow="0" w:firstColumn="1" w:lastColumn="0" w:noHBand="0" w:noVBand="1"/>
      </w:tblPr>
      <w:tblGrid>
        <w:gridCol w:w="837"/>
        <w:gridCol w:w="837"/>
        <w:gridCol w:w="4563"/>
        <w:gridCol w:w="709"/>
        <w:gridCol w:w="992"/>
        <w:gridCol w:w="1134"/>
      </w:tblGrid>
      <w:tr w:rsidR="00412387" w:rsidRPr="00412387" w:rsidTr="00412387">
        <w:trPr>
          <w:trHeight w:val="300"/>
        </w:trPr>
        <w:tc>
          <w:tcPr>
            <w:tcW w:w="9072" w:type="dxa"/>
            <w:gridSpan w:val="6"/>
            <w:tcBorders>
              <w:top w:val="nil"/>
              <w:left w:val="nil"/>
              <w:bottom w:val="nil"/>
              <w:right w:val="nil"/>
            </w:tcBorders>
            <w:shd w:val="clear" w:color="auto" w:fill="auto"/>
            <w:noWrap/>
            <w:vAlign w:val="bottom"/>
            <w:hideMark/>
          </w:tcPr>
          <w:p w:rsidR="00412387" w:rsidRPr="00412387" w:rsidRDefault="00412387" w:rsidP="00412387">
            <w:pPr>
              <w:spacing w:after="0" w:line="240" w:lineRule="auto"/>
              <w:jc w:val="left"/>
              <w:rPr>
                <w:rFonts w:ascii="Calibri" w:eastAsia="Times New Roman" w:hAnsi="Calibri" w:cs="Calibri"/>
                <w:sz w:val="20"/>
                <w:szCs w:val="20"/>
                <w:lang w:val="de-DE" w:eastAsia="de-DE"/>
              </w:rPr>
            </w:pPr>
            <w:r w:rsidRPr="00412387">
              <w:rPr>
                <w:rFonts w:ascii="Calibri" w:eastAsia="Times New Roman" w:hAnsi="Calibri" w:cs="Calibri"/>
                <w:sz w:val="20"/>
                <w:szCs w:val="20"/>
                <w:lang w:val="de-DE" w:eastAsia="de-DE"/>
              </w:rPr>
              <w:lastRenderedPageBreak/>
              <w:t>Angaben in Euro (Voranschlag)</w:t>
            </w:r>
          </w:p>
        </w:tc>
      </w:tr>
      <w:tr w:rsidR="00412387" w:rsidRPr="00412387" w:rsidTr="00412387">
        <w:trPr>
          <w:trHeight w:val="300"/>
        </w:trPr>
        <w:tc>
          <w:tcPr>
            <w:tcW w:w="736"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MVAG</w:t>
            </w:r>
            <w:r w:rsidRPr="00412387">
              <w:rPr>
                <w:rFonts w:eastAsia="Times New Roman"/>
                <w:b/>
                <w:bCs/>
                <w:lang w:val="de-DE" w:eastAsia="de-DE"/>
              </w:rPr>
              <w:br/>
              <w:t>Ebene</w:t>
            </w:r>
          </w:p>
        </w:tc>
        <w:tc>
          <w:tcPr>
            <w:tcW w:w="736"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MVAG</w:t>
            </w:r>
            <w:r w:rsidRPr="00412387">
              <w:rPr>
                <w:rFonts w:eastAsia="Times New Roman"/>
                <w:b/>
                <w:bCs/>
                <w:lang w:val="de-DE" w:eastAsia="de-DE"/>
              </w:rPr>
              <w:br/>
              <w:t>Code</w:t>
            </w:r>
          </w:p>
        </w:tc>
        <w:tc>
          <w:tcPr>
            <w:tcW w:w="4765" w:type="dxa"/>
            <w:vMerge w:val="restart"/>
            <w:tcBorders>
              <w:top w:val="nil"/>
              <w:left w:val="nil"/>
              <w:bottom w:val="nil"/>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Mittelverwendungs- und -aufbringungsgruppen</w:t>
            </w:r>
            <w:r w:rsidRPr="00412387">
              <w:rPr>
                <w:rFonts w:eastAsia="Times New Roman"/>
                <w:b/>
                <w:bCs/>
                <w:lang w:val="de-DE" w:eastAsia="de-DE"/>
              </w:rPr>
              <w:br/>
              <w:t>(1. Ebene)</w:t>
            </w:r>
          </w:p>
        </w:tc>
        <w:tc>
          <w:tcPr>
            <w:tcW w:w="709"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lang w:val="de-DE" w:eastAsia="de-DE"/>
              </w:rPr>
            </w:pPr>
            <w:r w:rsidRPr="00412387">
              <w:rPr>
                <w:rFonts w:eastAsia="Times New Roman"/>
                <w:b/>
                <w:bCs/>
                <w:lang w:val="de-DE" w:eastAsia="de-DE"/>
              </w:rPr>
              <w:t>VA (t)</w:t>
            </w:r>
          </w:p>
        </w:tc>
        <w:tc>
          <w:tcPr>
            <w:tcW w:w="992"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lang w:val="de-DE" w:eastAsia="de-DE"/>
              </w:rPr>
            </w:pPr>
            <w:r w:rsidRPr="00412387">
              <w:rPr>
                <w:rFonts w:eastAsia="Times New Roman"/>
                <w:b/>
                <w:bCs/>
                <w:lang w:val="de-DE" w:eastAsia="de-DE"/>
              </w:rPr>
              <w:t>VA (t-1)</w:t>
            </w:r>
          </w:p>
        </w:tc>
        <w:tc>
          <w:tcPr>
            <w:tcW w:w="1134" w:type="dxa"/>
            <w:vMerge w:val="restart"/>
            <w:tcBorders>
              <w:top w:val="nil"/>
              <w:left w:val="nil"/>
              <w:bottom w:val="single" w:sz="8" w:space="0" w:color="FFFFFF"/>
              <w:right w:val="nil"/>
            </w:tcBorders>
            <w:shd w:val="clear" w:color="000000" w:fill="BFBFBF"/>
            <w:hideMark/>
          </w:tcPr>
          <w:p w:rsidR="00412387" w:rsidRPr="00412387" w:rsidRDefault="00412387" w:rsidP="00412387">
            <w:pPr>
              <w:spacing w:after="0" w:line="240" w:lineRule="auto"/>
              <w:jc w:val="center"/>
              <w:rPr>
                <w:rFonts w:eastAsia="Times New Roman"/>
                <w:b/>
                <w:bCs/>
                <w:lang w:val="de-DE" w:eastAsia="de-DE"/>
              </w:rPr>
            </w:pPr>
            <w:r w:rsidRPr="00412387">
              <w:rPr>
                <w:rFonts w:eastAsia="Times New Roman"/>
                <w:b/>
                <w:bCs/>
                <w:lang w:val="de-DE" w:eastAsia="de-DE"/>
              </w:rPr>
              <w:t>RA (t-2)</w:t>
            </w:r>
          </w:p>
        </w:tc>
      </w:tr>
      <w:tr w:rsidR="00412387" w:rsidRPr="00412387" w:rsidTr="00412387">
        <w:trPr>
          <w:trHeight w:val="491"/>
        </w:trPr>
        <w:tc>
          <w:tcPr>
            <w:tcW w:w="736"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c>
          <w:tcPr>
            <w:tcW w:w="736"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c>
          <w:tcPr>
            <w:tcW w:w="4765" w:type="dxa"/>
            <w:vMerge/>
            <w:tcBorders>
              <w:top w:val="nil"/>
              <w:left w:val="nil"/>
              <w:bottom w:val="nil"/>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c>
          <w:tcPr>
            <w:tcW w:w="709"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c>
          <w:tcPr>
            <w:tcW w:w="992"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c>
          <w:tcPr>
            <w:tcW w:w="1134" w:type="dxa"/>
            <w:vMerge/>
            <w:tcBorders>
              <w:top w:val="nil"/>
              <w:left w:val="nil"/>
              <w:bottom w:val="single" w:sz="8" w:space="0" w:color="FFFFFF"/>
              <w:right w:val="nil"/>
            </w:tcBorders>
            <w:vAlign w:val="center"/>
            <w:hideMark/>
          </w:tcPr>
          <w:p w:rsidR="00412387" w:rsidRPr="00412387" w:rsidRDefault="00412387" w:rsidP="00412387">
            <w:pPr>
              <w:spacing w:after="0" w:line="240" w:lineRule="auto"/>
              <w:jc w:val="left"/>
              <w:rPr>
                <w:rFonts w:eastAsia="Times New Roman"/>
                <w:b/>
                <w:bCs/>
                <w:lang w:val="de-DE" w:eastAsia="de-DE"/>
              </w:rPr>
            </w:pP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31</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Einzahlungen operative Gebarung</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32</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Auszahlungen operative Gebarung</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 1</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 1</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Saldo (1) Geldfluss aus der Operativen Gebarung (31 - 32)</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33</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Einzahlungen investive Gebarung</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34</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Auszahlungen investive Gebarung</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SA2</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SA2</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Saldo (2) Geldfluss aus der Investiven Gebarung (33 - 34)</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SA3</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SA3</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Saldo (3) Nettofinanzierungssaldo (Saldo 1 + Saldo 2)</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35</w:t>
            </w:r>
          </w:p>
        </w:tc>
        <w:tc>
          <w:tcPr>
            <w:tcW w:w="4765"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Einzahlungen aus der Finanzierungstätigkeit</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SU</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36</w:t>
            </w:r>
          </w:p>
        </w:tc>
        <w:tc>
          <w:tcPr>
            <w:tcW w:w="4765" w:type="dxa"/>
            <w:tcBorders>
              <w:top w:val="nil"/>
              <w:left w:val="nil"/>
              <w:bottom w:val="single" w:sz="8" w:space="0" w:color="FFFFFF"/>
              <w:right w:val="nil"/>
            </w:tcBorders>
            <w:shd w:val="clear" w:color="000000" w:fill="BFBFBF"/>
            <w:vAlign w:val="bottom"/>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Summe Auszahlungen aus der Finanzierungstätigkeit</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SA4</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SA4</w:t>
            </w:r>
          </w:p>
        </w:tc>
        <w:tc>
          <w:tcPr>
            <w:tcW w:w="4765" w:type="dxa"/>
            <w:tcBorders>
              <w:top w:val="nil"/>
              <w:left w:val="nil"/>
              <w:bottom w:val="single" w:sz="8" w:space="0" w:color="FFFFFF"/>
              <w:right w:val="nil"/>
            </w:tcBorders>
            <w:shd w:val="clear" w:color="000000" w:fill="BFBFBF"/>
            <w:vAlign w:val="bottom"/>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Saldo (4) Geldfluss aus der Finanzierungstätigkeit (35 - 36)</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r w:rsidR="00412387" w:rsidRPr="00412387" w:rsidTr="00412387">
        <w:trPr>
          <w:trHeight w:val="315"/>
        </w:trPr>
        <w:tc>
          <w:tcPr>
            <w:tcW w:w="736" w:type="dxa"/>
            <w:tcBorders>
              <w:top w:val="nil"/>
              <w:left w:val="single" w:sz="8" w:space="0" w:color="FFFFFF"/>
              <w:bottom w:val="single" w:sz="8" w:space="0" w:color="FFFFFF"/>
              <w:right w:val="nil"/>
            </w:tcBorders>
            <w:shd w:val="clear" w:color="000000" w:fill="BFBFBF"/>
            <w:noWrap/>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SA5</w:t>
            </w:r>
          </w:p>
        </w:tc>
        <w:tc>
          <w:tcPr>
            <w:tcW w:w="736" w:type="dxa"/>
            <w:tcBorders>
              <w:top w:val="nil"/>
              <w:left w:val="nil"/>
              <w:bottom w:val="single" w:sz="8" w:space="0" w:color="FFFFFF"/>
              <w:right w:val="nil"/>
            </w:tcBorders>
            <w:shd w:val="clear" w:color="000000" w:fill="BFBFBF"/>
            <w:vAlign w:val="center"/>
            <w:hideMark/>
          </w:tcPr>
          <w:p w:rsidR="00412387" w:rsidRPr="00412387" w:rsidRDefault="00412387" w:rsidP="00412387">
            <w:pPr>
              <w:spacing w:after="0" w:line="240" w:lineRule="auto"/>
              <w:jc w:val="left"/>
              <w:rPr>
                <w:rFonts w:eastAsia="Times New Roman"/>
                <w:b/>
                <w:bCs/>
                <w:lang w:val="de-DE" w:eastAsia="de-DE"/>
              </w:rPr>
            </w:pPr>
            <w:r w:rsidRPr="00412387">
              <w:rPr>
                <w:rFonts w:eastAsia="Times New Roman"/>
                <w:b/>
                <w:bCs/>
                <w:lang w:val="de-DE" w:eastAsia="de-DE"/>
              </w:rPr>
              <w:t>SA5</w:t>
            </w:r>
          </w:p>
        </w:tc>
        <w:tc>
          <w:tcPr>
            <w:tcW w:w="4765" w:type="dxa"/>
            <w:tcBorders>
              <w:top w:val="nil"/>
              <w:left w:val="nil"/>
              <w:bottom w:val="single" w:sz="8" w:space="0" w:color="FFFFFF"/>
              <w:right w:val="nil"/>
            </w:tcBorders>
            <w:shd w:val="clear" w:color="000000" w:fill="BFBFBF"/>
            <w:vAlign w:val="bottom"/>
            <w:hideMark/>
          </w:tcPr>
          <w:p w:rsidR="00412387" w:rsidRPr="00412387" w:rsidRDefault="00412387" w:rsidP="00412387">
            <w:pPr>
              <w:spacing w:after="0" w:line="240" w:lineRule="auto"/>
              <w:jc w:val="left"/>
              <w:rPr>
                <w:rFonts w:eastAsia="Times New Roman"/>
                <w:b/>
                <w:bCs/>
                <w:i/>
                <w:iCs/>
                <w:lang w:val="de-DE" w:eastAsia="de-DE"/>
              </w:rPr>
            </w:pPr>
            <w:r w:rsidRPr="00412387">
              <w:rPr>
                <w:rFonts w:eastAsia="Times New Roman"/>
                <w:b/>
                <w:bCs/>
                <w:i/>
                <w:iCs/>
                <w:lang w:val="de-DE" w:eastAsia="de-DE"/>
              </w:rPr>
              <w:t>Saldo (5) Geldfluss aus der voranschlagswirksamen Gebarung (Saldo 3 + Saldo 4)</w:t>
            </w:r>
          </w:p>
        </w:tc>
        <w:tc>
          <w:tcPr>
            <w:tcW w:w="709"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992"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c>
          <w:tcPr>
            <w:tcW w:w="1134" w:type="dxa"/>
            <w:tcBorders>
              <w:top w:val="nil"/>
              <w:left w:val="nil"/>
              <w:bottom w:val="single" w:sz="8" w:space="0" w:color="FFFFFF"/>
              <w:right w:val="nil"/>
            </w:tcBorders>
            <w:shd w:val="clear" w:color="000000" w:fill="BFBFBF"/>
            <w:noWrap/>
            <w:vAlign w:val="bottom"/>
            <w:hideMark/>
          </w:tcPr>
          <w:p w:rsidR="00412387" w:rsidRPr="00412387" w:rsidRDefault="00412387" w:rsidP="00412387">
            <w:pPr>
              <w:spacing w:after="0" w:line="240" w:lineRule="auto"/>
              <w:jc w:val="right"/>
              <w:rPr>
                <w:rFonts w:eastAsia="Times New Roman"/>
                <w:b/>
                <w:bCs/>
                <w:lang w:val="de-DE" w:eastAsia="de-DE"/>
              </w:rPr>
            </w:pPr>
            <w:r w:rsidRPr="00412387">
              <w:rPr>
                <w:rFonts w:eastAsia="Times New Roman"/>
                <w:b/>
                <w:bCs/>
                <w:lang w:val="de-DE" w:eastAsia="de-DE"/>
              </w:rPr>
              <w:t>0,00</w:t>
            </w:r>
          </w:p>
        </w:tc>
      </w:tr>
    </w:tbl>
    <w:p w:rsidR="00412387" w:rsidRDefault="00412387" w:rsidP="00021B3F"/>
    <w:p w:rsidR="00F77504" w:rsidRDefault="00FF1BC6" w:rsidP="00021B3F">
      <w:r w:rsidRPr="00FF1BC6">
        <w:rPr>
          <w:highlight w:val="yellow"/>
        </w:rPr>
        <w:t>Kurzbeschreibung der wesentlichen Kennzahlen des Finanzierungsvoranschlages</w:t>
      </w:r>
    </w:p>
    <w:p w:rsidR="00021B3F" w:rsidRDefault="00021B3F" w:rsidP="00021B3F">
      <w:pPr>
        <w:pStyle w:val="berschrift1"/>
      </w:pPr>
      <w:r>
        <w:t>Überblick über die investiven Vorhaben und ihre Finanzierung</w:t>
      </w:r>
    </w:p>
    <w:p w:rsidR="00021B3F" w:rsidRDefault="00F9565C" w:rsidP="00021B3F">
      <w:r>
        <w:t>Ein</w:t>
      </w:r>
      <w:r w:rsidRPr="007D68CE">
        <w:t xml:space="preserve"> Vorhaben</w:t>
      </w:r>
      <w:r w:rsidR="00035DF9">
        <w:t>,</w:t>
      </w:r>
      <w:r w:rsidRPr="007D68CE">
        <w:t xml:space="preserve"> </w:t>
      </w:r>
      <w:r>
        <w:t xml:space="preserve">welches </w:t>
      </w:r>
      <w:r w:rsidRPr="007D68CE">
        <w:t xml:space="preserve">eine Investition in immaterielle Vermögensgegenstände, Sachanlagevermögen oder die Erbringung sonstiger Leistungen zum Gegenstand hat, umfasst alle sich </w:t>
      </w:r>
      <w:r>
        <w:t>auf dieses Vorhaben</w:t>
      </w:r>
      <w:r w:rsidRPr="007D68CE">
        <w:t xml:space="preserve"> beziehenden sachlich abgrenzbaren und wirtschaftlich zusammengehörigen Leistungen, die in der Regel aufgrund einer einheitlichen Planung erbracht werden.</w:t>
      </w:r>
      <w:r>
        <w:t xml:space="preserve"> </w:t>
      </w:r>
      <w:r w:rsidRPr="007D68CE">
        <w:t>Ein Vorhaben hat einen in wirtschaftlicher, rechtlicher oder finanzieller Hinsicht einheitlichen Vorgang zum Gegenstand.</w:t>
      </w:r>
    </w:p>
    <w:p w:rsidR="00721C10" w:rsidRDefault="00F77504" w:rsidP="00021B3F">
      <w:r>
        <w:t xml:space="preserve">Für </w:t>
      </w:r>
      <w:r w:rsidR="00F9565C">
        <w:t xml:space="preserve">das Haushaltsjahr </w:t>
      </w:r>
      <w:r>
        <w:t xml:space="preserve">2020 </w:t>
      </w:r>
      <w:r w:rsidR="00F9565C">
        <w:t xml:space="preserve">plant die </w:t>
      </w:r>
      <w:r w:rsidR="00F9565C" w:rsidRPr="00F9565C">
        <w:rPr>
          <w:highlight w:val="yellow"/>
        </w:rPr>
        <w:t>Gemeinde XY</w:t>
      </w:r>
      <w:r>
        <w:t xml:space="preserve"> Investitionsvorhaben </w:t>
      </w:r>
      <w:r w:rsidR="00F9565C">
        <w:t xml:space="preserve">in der Höhe </w:t>
      </w:r>
      <w:r>
        <w:t xml:space="preserve">von </w:t>
      </w:r>
      <w:r w:rsidRPr="00F9565C">
        <w:rPr>
          <w:highlight w:val="yellow"/>
        </w:rPr>
        <w:t xml:space="preserve">rd. EUR </w:t>
      </w:r>
      <w:proofErr w:type="spellStart"/>
      <w:r w:rsidR="00F9565C" w:rsidRPr="00F9565C">
        <w:rPr>
          <w:highlight w:val="yellow"/>
        </w:rPr>
        <w:t>xxxx</w:t>
      </w:r>
      <w:proofErr w:type="spellEnd"/>
      <w:r w:rsidR="00F9565C">
        <w:t xml:space="preserve">. Diese </w:t>
      </w:r>
      <w:r w:rsidR="004808C1">
        <w:t xml:space="preserve">Anschaffungs- oder Herstellungskosten sollen im Wesentlichen durch </w:t>
      </w:r>
      <w:r w:rsidR="004808C1" w:rsidRPr="004808C1">
        <w:rPr>
          <w:highlight w:val="yellow"/>
        </w:rPr>
        <w:t>Eigenmittel, Darlehen, Förderungen sowie Gemeinde-Bedarfszuweisungsmittel</w:t>
      </w:r>
      <w:r w:rsidR="004808C1">
        <w:t xml:space="preserve"> finanziert werden.</w:t>
      </w:r>
    </w:p>
    <w:p w:rsidR="004808C1" w:rsidRDefault="004808C1" w:rsidP="00021B3F">
      <w:r>
        <w:t>Die Summen und Salden des Nachweises der Investitionstätigkeit und deren Finanzierung (in der Folge kurz: Nachweis der Investitionstätigkeit) ergibt folgendes Bild:</w:t>
      </w:r>
    </w:p>
    <w:p w:rsidR="004273E8" w:rsidRDefault="004273E8" w:rsidP="00021B3F">
      <w:r w:rsidRPr="004273E8">
        <w:rPr>
          <w:noProof/>
          <w:lang w:val="de-DE" w:eastAsia="de-DE"/>
        </w:rPr>
        <w:drawing>
          <wp:inline distT="0" distB="0" distL="0" distR="0">
            <wp:extent cx="5760720" cy="10872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87295"/>
                    </a:xfrm>
                    <a:prstGeom prst="rect">
                      <a:avLst/>
                    </a:prstGeom>
                    <a:noFill/>
                    <a:ln>
                      <a:noFill/>
                    </a:ln>
                  </pic:spPr>
                </pic:pic>
              </a:graphicData>
            </a:graphic>
          </wp:inline>
        </w:drawing>
      </w:r>
    </w:p>
    <w:p w:rsidR="004808C1" w:rsidRPr="004808C1" w:rsidRDefault="004808C1" w:rsidP="00021B3F">
      <w:pPr>
        <w:rPr>
          <w:i/>
          <w:highlight w:val="yellow"/>
        </w:rPr>
      </w:pPr>
      <w:r w:rsidRPr="004808C1">
        <w:rPr>
          <w:i/>
          <w:highlight w:val="yellow"/>
        </w:rPr>
        <w:t>Kurze Beschreibung der Investitionen samt deren Finanzierung.</w:t>
      </w:r>
    </w:p>
    <w:p w:rsidR="00F8003F" w:rsidRPr="004808C1" w:rsidRDefault="004808C1" w:rsidP="00021B3F">
      <w:pPr>
        <w:rPr>
          <w:i/>
        </w:rPr>
      </w:pPr>
      <w:r w:rsidRPr="004808C1">
        <w:rPr>
          <w:i/>
          <w:highlight w:val="yellow"/>
        </w:rPr>
        <w:t>Mehrjährige Zusagen von Gemeinde-Bedarfszuweisungen sind bei vorrübergehender Bedeckung durch Darlehensaufnahmen durch die Gemeinde als Darlehensaufnahme im Nachweis darzustellen. In den Erläuterungen zum Nachweis können die zugesagten Gemeinde-Bedarfszuweisungsmittel dargestellt werden.</w:t>
      </w:r>
      <w:r w:rsidR="00F8003F" w:rsidRPr="004808C1">
        <w:rPr>
          <w:i/>
        </w:rPr>
        <w:t xml:space="preserve">    </w:t>
      </w:r>
    </w:p>
    <w:p w:rsidR="00523D5E" w:rsidRPr="00AC1B1C" w:rsidRDefault="004808C1" w:rsidP="00021B3F">
      <w:r>
        <w:t xml:space="preserve">Im Nachweis der Investitionstätigkeit der Gemeinde XY sind auch investive Einzelvorhaben berücksichtigt, die über mehrere Haushaltsjahre realisiert werden bzw. werden sollen. Ein Überblick über diese mehrjährigen investiven Einzelvorhaben ermöglicht der </w:t>
      </w:r>
      <w:r w:rsidR="00801CBC">
        <w:t>„Teilbericht mehrjährige investive Einzelvorhaben“.</w:t>
      </w:r>
    </w:p>
    <w:p w:rsidR="004273E8" w:rsidRDefault="004273E8" w:rsidP="00021B3F">
      <w:pPr>
        <w:rPr>
          <w:highlight w:val="yellow"/>
        </w:rPr>
      </w:pPr>
      <w:r w:rsidRPr="004273E8">
        <w:rPr>
          <w:noProof/>
          <w:highlight w:val="yellow"/>
          <w:lang w:val="de-DE" w:eastAsia="de-DE"/>
        </w:rPr>
        <w:drawing>
          <wp:inline distT="0" distB="0" distL="0" distR="0">
            <wp:extent cx="5760720" cy="128486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284866"/>
                    </a:xfrm>
                    <a:prstGeom prst="rect">
                      <a:avLst/>
                    </a:prstGeom>
                    <a:noFill/>
                    <a:ln>
                      <a:noFill/>
                    </a:ln>
                  </pic:spPr>
                </pic:pic>
              </a:graphicData>
            </a:graphic>
          </wp:inline>
        </w:drawing>
      </w:r>
    </w:p>
    <w:p w:rsidR="00801986" w:rsidRDefault="00801CBC" w:rsidP="00021B3F">
      <w:r w:rsidRPr="00801CBC">
        <w:rPr>
          <w:highlight w:val="yellow"/>
        </w:rPr>
        <w:t>Kurze Beschreibung der mehrjährigen investiven Einzelvorhaben.</w:t>
      </w:r>
    </w:p>
    <w:p w:rsidR="00801CBC" w:rsidRDefault="00801CBC" w:rsidP="00801CBC">
      <w:pPr>
        <w:pStyle w:val="berschrift1"/>
      </w:pPr>
      <w:r>
        <w:t>Abweichung des VA 2020 vom mittelfristigen Haushaltsplan</w:t>
      </w:r>
    </w:p>
    <w:p w:rsidR="00801CBC" w:rsidRDefault="00801CBC" w:rsidP="00801CBC">
      <w:r>
        <w:t>Dieser Punkt kann im Vorbericht zum VA 2020 nicht erläutert werden, da mit dem VA 2020 erstmalig ein mittelfristiger Haushalsplan auf Basis der VRV 2015 zu erstellen ist.</w:t>
      </w:r>
    </w:p>
    <w:p w:rsidR="00801CBC" w:rsidRDefault="00801CBC" w:rsidP="00801CBC">
      <w:pPr>
        <w:pStyle w:val="berschrift1"/>
      </w:pPr>
      <w:r>
        <w:t>Entwicklung des Vermögenshaushaltes</w:t>
      </w:r>
    </w:p>
    <w:p w:rsidR="00801CBC" w:rsidRDefault="00801CBC" w:rsidP="00801CBC">
      <w:r>
        <w:t>Dieser Punkt kann im Vorbericht zum VA 2020 nicht erläutert werden, da die Eröffnungsbilanz sowie ein Rechnungsabschluss auf Basis der VRV 2015 erst im ersten Quartal 2021 zu erstellen ist.</w:t>
      </w:r>
    </w:p>
    <w:p w:rsidR="00801CBC" w:rsidRDefault="00801CBC" w:rsidP="00801CBC">
      <w:pPr>
        <w:pStyle w:val="berschrift1"/>
      </w:pPr>
      <w:r>
        <w:t>Finanzbedarf für die Inanspruchnahme von Rückstellungen</w:t>
      </w:r>
    </w:p>
    <w:p w:rsidR="00801CBC" w:rsidRPr="00801CBC" w:rsidRDefault="00801CBC" w:rsidP="00801CBC">
      <w:r>
        <w:t>Soweit im Voranschlag 2020 Rückstellungen bereits berücksichtigt wurden, ist kurz zu erläutern, in welcher Höhe Rückstellungen aufgelöst werden und welcher Finanzbedarf für die Inanspruchnahme von Rückstellungen in den Finanzierungsvoranschlag eingearbeitet wurde.</w:t>
      </w:r>
    </w:p>
    <w:p w:rsidR="00801CBC" w:rsidRPr="00801CBC" w:rsidRDefault="00801CBC" w:rsidP="00801CBC">
      <w:pPr>
        <w:pStyle w:val="berschrift1"/>
      </w:pPr>
      <w:r>
        <w:t>Kassenstärker</w:t>
      </w:r>
    </w:p>
    <w:p w:rsidR="00801CBC" w:rsidRPr="007D68CE" w:rsidRDefault="00801CBC" w:rsidP="00801CBC">
      <w:r>
        <w:t>D</w:t>
      </w:r>
      <w:r w:rsidRPr="007D68CE">
        <w:t>ie</w:t>
      </w:r>
      <w:r>
        <w:t xml:space="preserve"> vom Gemeinderat zu beschließende</w:t>
      </w:r>
      <w:r w:rsidRPr="007D68CE">
        <w:t xml:space="preserve"> maximale Höhe der voraussichtlich für das Haushaltsjahr </w:t>
      </w:r>
      <w:r w:rsidR="005778F8">
        <w:t xml:space="preserve">2020 </w:t>
      </w:r>
      <w:r w:rsidRPr="007D68CE">
        <w:t>notwendigen Kassenstärker (§ 82 Abs. 2 GemO)</w:t>
      </w:r>
      <w:r w:rsidR="005778F8">
        <w:t xml:space="preserve"> sind anzugeben bzw. darzustellen</w:t>
      </w:r>
      <w:r w:rsidRPr="007D68CE">
        <w:t>.</w:t>
      </w:r>
    </w:p>
    <w:p w:rsidR="00801CBC" w:rsidRDefault="00801CBC" w:rsidP="00021B3F"/>
    <w:sectPr w:rsidR="00801CBC" w:rsidSect="000B51C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8E0"/>
    <w:multiLevelType w:val="multilevel"/>
    <w:tmpl w:val="91B09D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73"/>
    <w:rsid w:val="00021B3F"/>
    <w:rsid w:val="00035DF9"/>
    <w:rsid w:val="000521BA"/>
    <w:rsid w:val="00095500"/>
    <w:rsid w:val="000B51C0"/>
    <w:rsid w:val="001A7F6C"/>
    <w:rsid w:val="001B1131"/>
    <w:rsid w:val="00222684"/>
    <w:rsid w:val="00243F27"/>
    <w:rsid w:val="00343951"/>
    <w:rsid w:val="00376F84"/>
    <w:rsid w:val="00383837"/>
    <w:rsid w:val="00396EC9"/>
    <w:rsid w:val="00412387"/>
    <w:rsid w:val="004273E8"/>
    <w:rsid w:val="004808C1"/>
    <w:rsid w:val="00523D5E"/>
    <w:rsid w:val="005513D1"/>
    <w:rsid w:val="00560080"/>
    <w:rsid w:val="005778F8"/>
    <w:rsid w:val="005C77BB"/>
    <w:rsid w:val="005E6683"/>
    <w:rsid w:val="005F21EE"/>
    <w:rsid w:val="005F360A"/>
    <w:rsid w:val="00662FBC"/>
    <w:rsid w:val="006816F6"/>
    <w:rsid w:val="006F5E56"/>
    <w:rsid w:val="00721C10"/>
    <w:rsid w:val="00781373"/>
    <w:rsid w:val="007A3B8A"/>
    <w:rsid w:val="007C7F75"/>
    <w:rsid w:val="00801986"/>
    <w:rsid w:val="00801CBC"/>
    <w:rsid w:val="00961077"/>
    <w:rsid w:val="009E0368"/>
    <w:rsid w:val="009F64C5"/>
    <w:rsid w:val="00A500AB"/>
    <w:rsid w:val="00A75463"/>
    <w:rsid w:val="00AC1B1C"/>
    <w:rsid w:val="00DC7E4F"/>
    <w:rsid w:val="00E31CEE"/>
    <w:rsid w:val="00F73D3B"/>
    <w:rsid w:val="00F77504"/>
    <w:rsid w:val="00F8003F"/>
    <w:rsid w:val="00F9565C"/>
    <w:rsid w:val="00FF1B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33EB3-BC8F-428F-9C63-2E7CC1E3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1B3F"/>
    <w:pPr>
      <w:jc w:val="both"/>
    </w:pPr>
    <w:rPr>
      <w:rFonts w:ascii="Times New Roman" w:hAnsi="Times New Roman" w:cs="Times New Roman"/>
    </w:rPr>
  </w:style>
  <w:style w:type="paragraph" w:styleId="berschrift1">
    <w:name w:val="heading 1"/>
    <w:basedOn w:val="Standard"/>
    <w:next w:val="Standard"/>
    <w:link w:val="berschrift1Zchn"/>
    <w:uiPriority w:val="9"/>
    <w:qFormat/>
    <w:rsid w:val="00021B3F"/>
    <w:pPr>
      <w:keepNext/>
      <w:keepLines/>
      <w:numPr>
        <w:numId w:val="1"/>
      </w:numPr>
      <w:spacing w:before="240" w:after="240"/>
      <w:ind w:left="431" w:hanging="431"/>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semiHidden/>
    <w:unhideWhenUsed/>
    <w:qFormat/>
    <w:rsid w:val="00021B3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21B3F"/>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021B3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21B3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21B3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21B3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21B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21B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10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077"/>
    <w:rPr>
      <w:rFonts w:ascii="Segoe UI" w:hAnsi="Segoe UI" w:cs="Segoe UI"/>
      <w:sz w:val="18"/>
      <w:szCs w:val="18"/>
    </w:rPr>
  </w:style>
  <w:style w:type="character" w:customStyle="1" w:styleId="berschrift1Zchn">
    <w:name w:val="Überschrift 1 Zchn"/>
    <w:basedOn w:val="Absatz-Standardschriftart"/>
    <w:link w:val="berschrift1"/>
    <w:uiPriority w:val="9"/>
    <w:rsid w:val="00021B3F"/>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semiHidden/>
    <w:rsid w:val="00021B3F"/>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021B3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021B3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21B3F"/>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021B3F"/>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021B3F"/>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021B3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1B3F"/>
    <w:rPr>
      <w:rFonts w:asciiTheme="majorHAnsi" w:eastAsiaTheme="majorEastAsia" w:hAnsiTheme="majorHAnsi" w:cstheme="majorBidi"/>
      <w:i/>
      <w:iCs/>
      <w:color w:val="272727" w:themeColor="text1" w:themeTint="D8"/>
      <w:sz w:val="21"/>
      <w:szCs w:val="21"/>
    </w:rPr>
  </w:style>
  <w:style w:type="paragraph" w:customStyle="1" w:styleId="52Aufzaehle1">
    <w:name w:val="52_Aufzaehl_e1"/>
    <w:basedOn w:val="Standard"/>
    <w:qFormat/>
    <w:rsid w:val="00801CBC"/>
    <w:pPr>
      <w:tabs>
        <w:tab w:val="right" w:pos="624"/>
        <w:tab w:val="left" w:pos="680"/>
      </w:tabs>
      <w:spacing w:before="40" w:after="0" w:line="220" w:lineRule="exact"/>
      <w:ind w:left="680" w:hanging="680"/>
    </w:pPr>
    <w:rPr>
      <w:rFonts w:eastAsia="Times New Roman"/>
      <w:snapToGrid w:val="0"/>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31090">
      <w:bodyDiv w:val="1"/>
      <w:marLeft w:val="0"/>
      <w:marRight w:val="0"/>
      <w:marTop w:val="0"/>
      <w:marBottom w:val="0"/>
      <w:divBdr>
        <w:top w:val="none" w:sz="0" w:space="0" w:color="auto"/>
        <w:left w:val="none" w:sz="0" w:space="0" w:color="auto"/>
        <w:bottom w:val="none" w:sz="0" w:space="0" w:color="auto"/>
        <w:right w:val="none" w:sz="0" w:space="0" w:color="auto"/>
      </w:divBdr>
    </w:div>
    <w:div w:id="837771706">
      <w:bodyDiv w:val="1"/>
      <w:marLeft w:val="0"/>
      <w:marRight w:val="0"/>
      <w:marTop w:val="0"/>
      <w:marBottom w:val="0"/>
      <w:divBdr>
        <w:top w:val="none" w:sz="0" w:space="0" w:color="auto"/>
        <w:left w:val="none" w:sz="0" w:space="0" w:color="auto"/>
        <w:bottom w:val="none" w:sz="0" w:space="0" w:color="auto"/>
        <w:right w:val="none" w:sz="0" w:space="0" w:color="auto"/>
      </w:divBdr>
    </w:div>
    <w:div w:id="1130786653">
      <w:bodyDiv w:val="1"/>
      <w:marLeft w:val="0"/>
      <w:marRight w:val="0"/>
      <w:marTop w:val="0"/>
      <w:marBottom w:val="0"/>
      <w:divBdr>
        <w:top w:val="none" w:sz="0" w:space="0" w:color="auto"/>
        <w:left w:val="none" w:sz="0" w:space="0" w:color="auto"/>
        <w:bottom w:val="none" w:sz="0" w:space="0" w:color="auto"/>
        <w:right w:val="none" w:sz="0" w:space="0" w:color="auto"/>
      </w:divBdr>
    </w:div>
    <w:div w:id="20657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Bogensberger, Quantum GmbH</dc:creator>
  <cp:keywords/>
  <dc:description/>
  <cp:lastModifiedBy>Hörmann Hans-Jörg</cp:lastModifiedBy>
  <cp:revision>2</cp:revision>
  <cp:lastPrinted>2019-09-16T13:58:00Z</cp:lastPrinted>
  <dcterms:created xsi:type="dcterms:W3CDTF">2019-10-24T12:54:00Z</dcterms:created>
  <dcterms:modified xsi:type="dcterms:W3CDTF">2019-10-24T12:54:00Z</dcterms:modified>
</cp:coreProperties>
</file>